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CE0" w:rsidRDefault="0032395E">
      <w:pPr>
        <w:pBdr>
          <w:top w:val="nil"/>
          <w:left w:val="nil"/>
          <w:bottom w:val="nil"/>
          <w:right w:val="nil"/>
          <w:between w:val="nil"/>
        </w:pBd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jc w:val="center"/>
        <w:rPr>
          <w:b/>
          <w:color w:val="000000"/>
        </w:rPr>
      </w:pPr>
      <w:r>
        <w:rPr>
          <w:b/>
          <w:color w:val="000000"/>
        </w:rPr>
        <w:t>TOWN OF BRISTOL- ENHANCED ENERGY PLAN</w:t>
      </w:r>
    </w:p>
    <w:p w:rsidR="00521D0C" w:rsidRDefault="00521D0C" w:rsidP="00521D0C">
      <w:pPr>
        <w:jc w:val="center"/>
      </w:pPr>
      <w:r>
        <w:rPr>
          <w:color w:val="FF0000"/>
        </w:rPr>
        <w:t xml:space="preserve">FINAL ENHANCED </w:t>
      </w:r>
      <w:bookmarkStart w:id="0" w:name="_GoBack"/>
      <w:bookmarkEnd w:id="0"/>
      <w:r>
        <w:rPr>
          <w:color w:val="FF0000"/>
        </w:rPr>
        <w:t>ENERGY COMMITTEE DRAFT- 30 June 2019</w:t>
      </w:r>
    </w:p>
    <w:p w:rsidR="00C50CE0" w:rsidRDefault="0032395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rsidR="00C50CE0" w:rsidRDefault="00C50CE0">
      <w:pPr>
        <w:pBdr>
          <w:top w:val="nil"/>
          <w:left w:val="nil"/>
          <w:bottom w:val="nil"/>
          <w:right w:val="nil"/>
          <w:between w:val="nil"/>
        </w:pBdr>
        <w:rPr>
          <w:color w:val="548DD4"/>
          <w:u w:val="single"/>
        </w:rPr>
      </w:pPr>
    </w:p>
    <w:p w:rsidR="00C50CE0" w:rsidRDefault="0032395E">
      <w:pPr>
        <w:pBdr>
          <w:top w:val="nil"/>
          <w:left w:val="nil"/>
          <w:bottom w:val="nil"/>
          <w:right w:val="nil"/>
          <w:between w:val="nil"/>
        </w:pBdr>
        <w:rPr>
          <w:b/>
          <w:color w:val="548DD4"/>
        </w:rPr>
      </w:pPr>
      <w:r>
        <w:rPr>
          <w:b/>
          <w:color w:val="548DD4"/>
        </w:rPr>
        <w:t>Intent of this Energy Plan</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The Town of Bristol recognizes our individual and collective responsibility to help reduce and conserve the energy we all use. Bristol believes it serves its citizens</w:t>
      </w:r>
      <w:r>
        <w:t xml:space="preserve">’ </w:t>
      </w:r>
      <w:r>
        <w:rPr>
          <w:color w:val="000000"/>
        </w:rPr>
        <w:t>interests by conserving energy, reducing our consumption of non-renewable energy and shifting our usage to carbon free or carbon neutral renewable energy sources. It also believes the Bristol Town Plan must create a vision and clear policy statements for the town to follow concerning energy conservation, consumption and generation within town. By this Plan Bristol intends to exercise more control over the types of energy choices made within town.</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One of the principal ways for Bristol to gain more control over its energy policies is to meet the municipal determination standards for enhanced energy planning enabled in 24 V.S.A. 4352.  By pursuing enhanced energy planning Bristol agrees that its energy plan will further regional and state energy goals, including the goal of having 90% of the energy used in Vermont obtained through renewable sources by 2050 (</w:t>
      </w:r>
      <w:r>
        <w:rPr>
          <w:rFonts w:ascii="Calibri" w:eastAsia="Calibri" w:hAnsi="Calibri" w:cs="Calibri"/>
          <w:color w:val="000000"/>
        </w:rPr>
        <w:t>“</w:t>
      </w:r>
      <w:r>
        <w:rPr>
          <w:color w:val="000000"/>
        </w:rPr>
        <w:t>90 x 50</w:t>
      </w:r>
      <w:r>
        <w:rPr>
          <w:rFonts w:ascii="Calibri" w:eastAsia="Calibri" w:hAnsi="Calibri" w:cs="Calibri"/>
          <w:color w:val="000000"/>
        </w:rPr>
        <w:t>”</w:t>
      </w:r>
      <w:r>
        <w:rPr>
          <w:color w:val="000000"/>
        </w:rPr>
        <w:t>) and the following:</w:t>
      </w:r>
    </w:p>
    <w:p w:rsidR="00C50CE0" w:rsidRDefault="00C50CE0">
      <w:pPr>
        <w:pBdr>
          <w:top w:val="nil"/>
          <w:left w:val="nil"/>
          <w:bottom w:val="nil"/>
          <w:right w:val="nil"/>
          <w:between w:val="nil"/>
        </w:pBdr>
        <w:rPr>
          <w:color w:val="000000"/>
        </w:rPr>
      </w:pPr>
    </w:p>
    <w:p w:rsidR="00C50CE0" w:rsidRDefault="0032395E" w:rsidP="00D72EE9">
      <w:pPr>
        <w:numPr>
          <w:ilvl w:val="0"/>
          <w:numId w:val="9"/>
        </w:numPr>
        <w:pBdr>
          <w:top w:val="nil"/>
          <w:left w:val="nil"/>
          <w:bottom w:val="nil"/>
          <w:right w:val="nil"/>
          <w:between w:val="nil"/>
        </w:pBdr>
        <w:spacing w:line="276" w:lineRule="auto"/>
        <w:ind w:left="330" w:hanging="330"/>
        <w:rPr>
          <w:color w:val="000000"/>
        </w:rPr>
      </w:pPr>
      <w:r>
        <w:rPr>
          <w:b/>
          <w:color w:val="000000"/>
        </w:rPr>
        <w:t xml:space="preserve">Vermont's greenhouse gas reduction goals under 10 V.S.A. </w:t>
      </w:r>
      <w:r>
        <w:rPr>
          <w:rFonts w:ascii="Calibri" w:eastAsia="Calibri" w:hAnsi="Calibri" w:cs="Calibri"/>
          <w:b/>
          <w:color w:val="000000"/>
        </w:rPr>
        <w:t xml:space="preserve">§ </w:t>
      </w:r>
      <w:r>
        <w:rPr>
          <w:b/>
          <w:color w:val="000000"/>
        </w:rPr>
        <w:t>578(a);</w:t>
      </w:r>
    </w:p>
    <w:p w:rsidR="00C50CE0" w:rsidRDefault="0032395E" w:rsidP="00D72EE9">
      <w:pPr>
        <w:numPr>
          <w:ilvl w:val="0"/>
          <w:numId w:val="10"/>
        </w:numPr>
        <w:pBdr>
          <w:top w:val="nil"/>
          <w:left w:val="nil"/>
          <w:bottom w:val="nil"/>
          <w:right w:val="nil"/>
          <w:between w:val="nil"/>
        </w:pBdr>
        <w:spacing w:line="276" w:lineRule="auto"/>
        <w:ind w:left="330" w:hanging="330"/>
        <w:rPr>
          <w:color w:val="000000"/>
        </w:rPr>
      </w:pPr>
      <w:r>
        <w:rPr>
          <w:b/>
          <w:color w:val="000000"/>
        </w:rPr>
        <w:t xml:space="preserve">Vermont's 25 by 25 goal for renewable energy under 10 V.S.A. </w:t>
      </w:r>
      <w:r>
        <w:rPr>
          <w:rFonts w:ascii="Calibri" w:eastAsia="Calibri" w:hAnsi="Calibri" w:cs="Calibri"/>
          <w:b/>
          <w:color w:val="000000"/>
        </w:rPr>
        <w:t xml:space="preserve">§ </w:t>
      </w:r>
      <w:r>
        <w:rPr>
          <w:b/>
          <w:color w:val="000000"/>
        </w:rPr>
        <w:t>580;</w:t>
      </w:r>
    </w:p>
    <w:p w:rsidR="00C50CE0" w:rsidRDefault="0032395E" w:rsidP="00D72EE9">
      <w:pPr>
        <w:numPr>
          <w:ilvl w:val="0"/>
          <w:numId w:val="11"/>
        </w:numPr>
        <w:pBdr>
          <w:top w:val="nil"/>
          <w:left w:val="nil"/>
          <w:bottom w:val="nil"/>
          <w:right w:val="nil"/>
          <w:between w:val="nil"/>
        </w:pBdr>
        <w:spacing w:line="276" w:lineRule="auto"/>
        <w:ind w:left="330" w:hanging="330"/>
        <w:rPr>
          <w:color w:val="000000"/>
        </w:rPr>
      </w:pPr>
      <w:r>
        <w:rPr>
          <w:b/>
          <w:color w:val="000000"/>
        </w:rPr>
        <w:t xml:space="preserve">Vermont's building efficiency goals under 10 V.S.A. </w:t>
      </w:r>
      <w:r>
        <w:rPr>
          <w:rFonts w:ascii="Calibri" w:eastAsia="Calibri" w:hAnsi="Calibri" w:cs="Calibri"/>
          <w:b/>
          <w:color w:val="000000"/>
        </w:rPr>
        <w:t xml:space="preserve">§ </w:t>
      </w:r>
      <w:r>
        <w:rPr>
          <w:b/>
          <w:color w:val="000000"/>
        </w:rPr>
        <w:t>581;</w:t>
      </w:r>
    </w:p>
    <w:p w:rsidR="00C50CE0" w:rsidRDefault="0032395E">
      <w:pPr>
        <w:numPr>
          <w:ilvl w:val="0"/>
          <w:numId w:val="1"/>
        </w:numPr>
        <w:pBdr>
          <w:top w:val="nil"/>
          <w:left w:val="nil"/>
          <w:bottom w:val="nil"/>
          <w:right w:val="nil"/>
          <w:between w:val="nil"/>
        </w:pBdr>
        <w:spacing w:line="276" w:lineRule="auto"/>
        <w:ind w:left="330" w:hanging="330"/>
        <w:rPr>
          <w:color w:val="000000"/>
        </w:rPr>
      </w:pPr>
      <w:r>
        <w:rPr>
          <w:b/>
          <w:color w:val="000000"/>
        </w:rPr>
        <w:t xml:space="preserve">State energy policy under 30 V.S.A. </w:t>
      </w:r>
      <w:r>
        <w:rPr>
          <w:rFonts w:ascii="Calibri" w:eastAsia="Calibri" w:hAnsi="Calibri" w:cs="Calibri"/>
          <w:b/>
          <w:color w:val="000000"/>
        </w:rPr>
        <w:t xml:space="preserve">§ </w:t>
      </w:r>
      <w:r>
        <w:rPr>
          <w:b/>
          <w:color w:val="000000"/>
        </w:rPr>
        <w:t xml:space="preserve">202a and the recommendations for regional and municipal energy planning pertaining to the efficient use of energy and the siting and development of renewable energy resources contained in the State energy plans adopted pursuant to 30 V.S.A. </w:t>
      </w:r>
      <w:r>
        <w:rPr>
          <w:rFonts w:ascii="Calibri" w:eastAsia="Calibri" w:hAnsi="Calibri" w:cs="Calibri"/>
          <w:b/>
          <w:color w:val="000000"/>
        </w:rPr>
        <w:t xml:space="preserve">§§ </w:t>
      </w:r>
      <w:r>
        <w:rPr>
          <w:b/>
          <w:color w:val="000000"/>
        </w:rPr>
        <w:t>202 and 202b (State energy plans); and the</w:t>
      </w:r>
    </w:p>
    <w:p w:rsidR="00C50CE0" w:rsidRDefault="0032395E">
      <w:pPr>
        <w:numPr>
          <w:ilvl w:val="0"/>
          <w:numId w:val="2"/>
        </w:numPr>
        <w:pBdr>
          <w:top w:val="nil"/>
          <w:left w:val="nil"/>
          <w:bottom w:val="nil"/>
          <w:right w:val="nil"/>
          <w:between w:val="nil"/>
        </w:pBdr>
        <w:spacing w:line="276" w:lineRule="auto"/>
        <w:ind w:left="330" w:hanging="330"/>
        <w:rPr>
          <w:color w:val="000000"/>
        </w:rPr>
      </w:pPr>
      <w:r>
        <w:rPr>
          <w:b/>
          <w:color w:val="000000"/>
        </w:rPr>
        <w:t xml:space="preserve">Distributed renewable generation and energy transformation categories of resources to meet the requirements of the Renewable Energy Standard under 30 V.S.A. </w:t>
      </w:r>
      <w:r>
        <w:rPr>
          <w:rFonts w:ascii="Calibri" w:eastAsia="Calibri" w:hAnsi="Calibri" w:cs="Calibri"/>
          <w:b/>
          <w:color w:val="000000"/>
        </w:rPr>
        <w:t xml:space="preserve">§§ </w:t>
      </w:r>
      <w:r>
        <w:rPr>
          <w:b/>
          <w:color w:val="000000"/>
        </w:rPr>
        <w:t>8004 &amp; 8005;</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To receive a positive determination of energy compliance, an enhanced energy plan must be duly adopted, regionally approved and must contain the following information: </w:t>
      </w:r>
    </w:p>
    <w:p w:rsidR="00C50CE0" w:rsidRDefault="00C50CE0">
      <w:pPr>
        <w:pBdr>
          <w:top w:val="nil"/>
          <w:left w:val="nil"/>
          <w:bottom w:val="nil"/>
          <w:right w:val="nil"/>
          <w:between w:val="nil"/>
        </w:pBdr>
        <w:rPr>
          <w:color w:val="000000"/>
        </w:rPr>
      </w:pPr>
    </w:p>
    <w:p w:rsidR="00C50CE0" w:rsidRDefault="0032395E" w:rsidP="00D72EE9">
      <w:pPr>
        <w:numPr>
          <w:ilvl w:val="0"/>
          <w:numId w:val="4"/>
        </w:numPr>
        <w:pBdr>
          <w:top w:val="nil"/>
          <w:left w:val="nil"/>
          <w:bottom w:val="nil"/>
          <w:right w:val="nil"/>
          <w:between w:val="nil"/>
        </w:pBdr>
        <w:ind w:left="690" w:hanging="330"/>
        <w:rPr>
          <w:color w:val="000000"/>
        </w:rPr>
      </w:pPr>
      <w:r>
        <w:rPr>
          <w:color w:val="000000"/>
        </w:rPr>
        <w:t>An analysis of current energy resources, needs, scarcities, costs, and problems.</w:t>
      </w:r>
    </w:p>
    <w:p w:rsidR="00C50CE0" w:rsidRDefault="0032395E" w:rsidP="00D72EE9">
      <w:pPr>
        <w:numPr>
          <w:ilvl w:val="0"/>
          <w:numId w:val="5"/>
        </w:numPr>
        <w:pBdr>
          <w:top w:val="nil"/>
          <w:left w:val="nil"/>
          <w:bottom w:val="nil"/>
          <w:right w:val="nil"/>
          <w:between w:val="nil"/>
        </w:pBdr>
        <w:ind w:left="690" w:hanging="330"/>
        <w:rPr>
          <w:color w:val="000000"/>
        </w:rPr>
      </w:pPr>
      <w:r>
        <w:rPr>
          <w:color w:val="000000"/>
        </w:rPr>
        <w:t>Targets for future energy use and generation.</w:t>
      </w:r>
    </w:p>
    <w:p w:rsidR="00C50CE0" w:rsidRDefault="0032395E" w:rsidP="00D72EE9">
      <w:pPr>
        <w:numPr>
          <w:ilvl w:val="0"/>
          <w:numId w:val="6"/>
        </w:numPr>
        <w:pBdr>
          <w:top w:val="nil"/>
          <w:left w:val="nil"/>
          <w:bottom w:val="nil"/>
          <w:right w:val="nil"/>
          <w:between w:val="nil"/>
        </w:pBdr>
        <w:ind w:left="690" w:hanging="330"/>
        <w:rPr>
          <w:color w:val="000000"/>
        </w:rPr>
      </w:pPr>
      <w:r>
        <w:rPr>
          <w:rFonts w:ascii="Calibri" w:eastAsia="Calibri" w:hAnsi="Calibri" w:cs="Calibri"/>
          <w:color w:val="000000"/>
        </w:rPr>
        <w:t>“</w:t>
      </w:r>
      <w:r>
        <w:rPr>
          <w:color w:val="000000"/>
        </w:rPr>
        <w:t>Pathways,</w:t>
      </w:r>
      <w:r>
        <w:rPr>
          <w:rFonts w:ascii="Calibri" w:eastAsia="Calibri" w:hAnsi="Calibri" w:cs="Calibri"/>
          <w:color w:val="000000"/>
        </w:rPr>
        <w:t xml:space="preserve">” </w:t>
      </w:r>
      <w:r>
        <w:rPr>
          <w:color w:val="000000"/>
        </w:rPr>
        <w:t>or implementation actions, to help the municipality achieve the established targets.</w:t>
      </w:r>
    </w:p>
    <w:p w:rsidR="00C50CE0" w:rsidRDefault="0032395E" w:rsidP="00D72EE9">
      <w:pPr>
        <w:numPr>
          <w:ilvl w:val="0"/>
          <w:numId w:val="7"/>
        </w:numPr>
        <w:pBdr>
          <w:top w:val="nil"/>
          <w:left w:val="nil"/>
          <w:bottom w:val="nil"/>
          <w:right w:val="nil"/>
          <w:between w:val="nil"/>
        </w:pBdr>
        <w:ind w:left="690" w:hanging="330"/>
        <w:rPr>
          <w:color w:val="000000"/>
        </w:rPr>
      </w:pPr>
      <w:r>
        <w:rPr>
          <w:color w:val="000000"/>
        </w:rPr>
        <w:t xml:space="preserve">Mapping to help guide the conversation about the siting of renewables.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A positive determination of compliance with the requirements of enhanced energy planning will enable Bristol</w:t>
      </w:r>
      <w:r>
        <w:rPr>
          <w:rFonts w:ascii="Calibri" w:eastAsia="Calibri" w:hAnsi="Calibri" w:cs="Calibri"/>
          <w:color w:val="000000"/>
        </w:rPr>
        <w:t>’</w:t>
      </w:r>
      <w:r>
        <w:rPr>
          <w:color w:val="000000"/>
        </w:rPr>
        <w:t xml:space="preserve">s Plan to achieve </w:t>
      </w:r>
      <w:r>
        <w:rPr>
          <w:rFonts w:ascii="Calibri" w:eastAsia="Calibri" w:hAnsi="Calibri" w:cs="Calibri"/>
          <w:color w:val="000000"/>
        </w:rPr>
        <w:t>“</w:t>
      </w:r>
      <w:r>
        <w:rPr>
          <w:color w:val="000000"/>
        </w:rPr>
        <w:t>substantial deference</w:t>
      </w:r>
      <w:r>
        <w:rPr>
          <w:rFonts w:ascii="Calibri" w:eastAsia="Calibri" w:hAnsi="Calibri" w:cs="Calibri"/>
          <w:color w:val="000000"/>
        </w:rPr>
        <w:t xml:space="preserve">” </w:t>
      </w:r>
      <w:r>
        <w:rPr>
          <w:color w:val="000000"/>
        </w:rPr>
        <w:t xml:space="preserve">from the Public Utilities Commission in Section 248 applications for energy generation facilities (ex. wind facilities, solar facilities, hydro facilities, etc.) under Criteria (b)(1)-Orderly Development of the criteria the Public Utilities Commission uses to evaluate proposed generation and transmission projects seeking Certificates of Public Good authorizing the construction of the proposed project. Substantial deference increases the respect the Public Utilities Commission will need to provide to clearly articulated policies in this plan (The current standard is </w:t>
      </w:r>
      <w:r>
        <w:rPr>
          <w:rFonts w:ascii="Calibri" w:eastAsia="Calibri" w:hAnsi="Calibri" w:cs="Calibri"/>
          <w:color w:val="000000"/>
        </w:rPr>
        <w:t>“</w:t>
      </w:r>
      <w:r>
        <w:rPr>
          <w:color w:val="000000"/>
        </w:rPr>
        <w:t>due consideration</w:t>
      </w:r>
      <w:r>
        <w:rPr>
          <w:rFonts w:ascii="Calibri" w:eastAsia="Calibri" w:hAnsi="Calibri" w:cs="Calibri"/>
          <w:color w:val="000000"/>
        </w:rPr>
        <w:t>”</w:t>
      </w:r>
      <w:r>
        <w:rPr>
          <w:color w:val="000000"/>
        </w:rPr>
        <w:t xml:space="preserve">).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This chapter includes the required analysis, target data, the goals, policies and implementation actions, and associated mapping. Topics covered include energy conservation and efficiency as it relates to thermal and electrical energy usage, transportation and land use planning. The plan also includes energy generation and siting standards. In addition to satisfying the required criteria, this plan also contains a number of policies and statement proclaiming the type, size and locations in which Bristol will support energy generation and the goals, policies and actions Bristol will undertake to help implement conservation and efficiency policies to help meet the State</w:t>
      </w:r>
      <w:r>
        <w:rPr>
          <w:rFonts w:ascii="Calibri" w:eastAsia="Calibri" w:hAnsi="Calibri" w:cs="Calibri"/>
          <w:color w:val="000000"/>
        </w:rPr>
        <w:t>’</w:t>
      </w:r>
      <w:r>
        <w:rPr>
          <w:color w:val="000000"/>
        </w:rPr>
        <w:t xml:space="preserve">s larger renewable goals.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b/>
          <w:color w:val="548DD4"/>
        </w:rPr>
      </w:pPr>
      <w:r>
        <w:rPr>
          <w:b/>
          <w:color w:val="548DD4"/>
        </w:rPr>
        <w:t>Bristol Energy Committee</w:t>
      </w:r>
    </w:p>
    <w:p w:rsidR="00C50CE0" w:rsidRDefault="00C50CE0">
      <w:pPr>
        <w:pBdr>
          <w:top w:val="nil"/>
          <w:left w:val="nil"/>
          <w:bottom w:val="nil"/>
          <w:right w:val="nil"/>
          <w:between w:val="nil"/>
        </w:pBdr>
        <w:rPr>
          <w:color w:val="000000"/>
          <w:u w:val="single"/>
        </w:rPr>
      </w:pPr>
    </w:p>
    <w:p w:rsidR="00C50CE0" w:rsidRDefault="0032395E">
      <w:pPr>
        <w:pBdr>
          <w:top w:val="nil"/>
          <w:left w:val="nil"/>
          <w:bottom w:val="nil"/>
          <w:right w:val="nil"/>
          <w:between w:val="nil"/>
        </w:pBdr>
        <w:rPr>
          <w:color w:val="000000"/>
        </w:rPr>
      </w:pPr>
      <w:r>
        <w:rPr>
          <w:color w:val="000000"/>
        </w:rPr>
        <w:t>The Bristol Energy Committee was established in 2007 by the Select board with the mission to investigate the energy use in the Town of Bristol and make recommendations based on energy conservation and efficiency; consulting with and advising the town about energy related issues in zoning and alternative energy; assisting residents and businesses in understanding and reducing their energy use; working with the schools in exploring energy conservation and efficiency; and exploring energy conservation and efficiency in transportation.</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b/>
          <w:color w:val="548DD4"/>
        </w:rPr>
      </w:pPr>
      <w:r>
        <w:rPr>
          <w:b/>
          <w:color w:val="548DD4"/>
        </w:rPr>
        <w:t>Outline of this Plan</w:t>
      </w:r>
    </w:p>
    <w:p w:rsidR="00C50CE0" w:rsidRDefault="0032395E">
      <w:pPr>
        <w:pBdr>
          <w:top w:val="nil"/>
          <w:left w:val="nil"/>
          <w:bottom w:val="nil"/>
          <w:right w:val="nil"/>
          <w:between w:val="nil"/>
        </w:pBdr>
        <w:rPr>
          <w:color w:val="000000"/>
        </w:rPr>
      </w:pPr>
      <w:r>
        <w:rPr>
          <w:color w:val="000000"/>
        </w:rPr>
        <w:t>This plan breaks Bristol</w:t>
      </w:r>
      <w:r>
        <w:rPr>
          <w:rFonts w:ascii="Calibri" w:eastAsia="Calibri" w:hAnsi="Calibri" w:cs="Calibri"/>
          <w:color w:val="000000"/>
        </w:rPr>
        <w:t>’</w:t>
      </w:r>
      <w:r>
        <w:rPr>
          <w:color w:val="000000"/>
        </w:rPr>
        <w:t>s energy demand and usage into the following four chapters:</w:t>
      </w:r>
    </w:p>
    <w:p w:rsidR="00C50CE0" w:rsidRDefault="00C50CE0">
      <w:pPr>
        <w:pBdr>
          <w:top w:val="nil"/>
          <w:left w:val="nil"/>
          <w:bottom w:val="nil"/>
          <w:right w:val="nil"/>
          <w:between w:val="nil"/>
        </w:pBdr>
        <w:ind w:left="720" w:hanging="360"/>
        <w:rPr>
          <w:color w:val="000000"/>
        </w:rPr>
      </w:pPr>
    </w:p>
    <w:p w:rsidR="00C50CE0" w:rsidRDefault="0032395E" w:rsidP="00D72EE9">
      <w:pPr>
        <w:numPr>
          <w:ilvl w:val="0"/>
          <w:numId w:val="12"/>
        </w:numPr>
        <w:pBdr>
          <w:top w:val="nil"/>
          <w:left w:val="nil"/>
          <w:bottom w:val="nil"/>
          <w:right w:val="nil"/>
          <w:between w:val="nil"/>
        </w:pBdr>
        <w:ind w:left="690" w:hanging="330"/>
        <w:rPr>
          <w:color w:val="000000"/>
        </w:rPr>
      </w:pPr>
      <w:r>
        <w:rPr>
          <w:b/>
          <w:color w:val="000000"/>
        </w:rPr>
        <w:t>Section I</w:t>
      </w:r>
      <w:r>
        <w:rPr>
          <w:color w:val="000000"/>
        </w:rPr>
        <w:t xml:space="preserve">, </w:t>
      </w:r>
      <w:r>
        <w:rPr>
          <w:color w:val="000000"/>
          <w:u w:val="single"/>
        </w:rPr>
        <w:t>Introduction</w:t>
      </w:r>
      <w:r>
        <w:rPr>
          <w:color w:val="000000"/>
        </w:rPr>
        <w:t>: Introduction and Summary of Bristol</w:t>
      </w:r>
      <w:r>
        <w:rPr>
          <w:rFonts w:ascii="Calibri" w:eastAsia="Calibri" w:hAnsi="Calibri" w:cs="Calibri"/>
          <w:color w:val="000000"/>
        </w:rPr>
        <w:t>’</w:t>
      </w:r>
      <w:r>
        <w:rPr>
          <w:color w:val="000000"/>
        </w:rPr>
        <w:t>s Enhanced Energy Plan;</w:t>
      </w:r>
    </w:p>
    <w:p w:rsidR="00C50CE0" w:rsidRDefault="0032395E" w:rsidP="00D72EE9">
      <w:pPr>
        <w:numPr>
          <w:ilvl w:val="0"/>
          <w:numId w:val="12"/>
        </w:numPr>
        <w:pBdr>
          <w:top w:val="nil"/>
          <w:left w:val="nil"/>
          <w:bottom w:val="nil"/>
          <w:right w:val="nil"/>
          <w:between w:val="nil"/>
        </w:pBdr>
        <w:ind w:left="690" w:hanging="330"/>
        <w:rPr>
          <w:color w:val="000000"/>
        </w:rPr>
      </w:pPr>
      <w:r>
        <w:rPr>
          <w:b/>
          <w:color w:val="000000"/>
        </w:rPr>
        <w:t>Section II</w:t>
      </w:r>
      <w:r>
        <w:rPr>
          <w:color w:val="000000"/>
        </w:rPr>
        <w:t xml:space="preserve">, </w:t>
      </w:r>
      <w:r>
        <w:rPr>
          <w:color w:val="000000"/>
          <w:u w:val="single"/>
        </w:rPr>
        <w:t>Thermal Use</w:t>
      </w:r>
      <w:r>
        <w:rPr>
          <w:color w:val="000000"/>
        </w:rPr>
        <w:t xml:space="preserve">: This Chapter focuses mostly on Energy used for space heating.  </w:t>
      </w:r>
    </w:p>
    <w:p w:rsidR="00C50CE0" w:rsidRDefault="0032395E" w:rsidP="00D72EE9">
      <w:pPr>
        <w:numPr>
          <w:ilvl w:val="0"/>
          <w:numId w:val="12"/>
        </w:numPr>
        <w:pBdr>
          <w:top w:val="nil"/>
          <w:left w:val="nil"/>
          <w:bottom w:val="nil"/>
          <w:right w:val="nil"/>
          <w:between w:val="nil"/>
        </w:pBdr>
        <w:ind w:left="690" w:hanging="330"/>
        <w:rPr>
          <w:color w:val="000000"/>
        </w:rPr>
      </w:pPr>
      <w:r>
        <w:rPr>
          <w:b/>
          <w:color w:val="000000"/>
        </w:rPr>
        <w:t>Section III</w:t>
      </w:r>
      <w:r>
        <w:rPr>
          <w:color w:val="000000"/>
        </w:rPr>
        <w:t xml:space="preserve">, </w:t>
      </w:r>
      <w:r>
        <w:rPr>
          <w:color w:val="000000"/>
          <w:u w:val="single"/>
        </w:rPr>
        <w:t>Transportation Use</w:t>
      </w:r>
      <w:r>
        <w:rPr>
          <w:color w:val="000000"/>
        </w:rPr>
        <w:t>: This Chapter focuses on energy used for Transportation.</w:t>
      </w:r>
    </w:p>
    <w:p w:rsidR="00C50CE0" w:rsidRDefault="0032395E" w:rsidP="00D72EE9">
      <w:pPr>
        <w:numPr>
          <w:ilvl w:val="0"/>
          <w:numId w:val="12"/>
        </w:numPr>
        <w:pBdr>
          <w:top w:val="nil"/>
          <w:left w:val="nil"/>
          <w:bottom w:val="nil"/>
          <w:right w:val="nil"/>
          <w:between w:val="nil"/>
        </w:pBdr>
        <w:ind w:left="690" w:hanging="330"/>
        <w:rPr>
          <w:color w:val="000000"/>
        </w:rPr>
      </w:pPr>
      <w:r>
        <w:rPr>
          <w:b/>
          <w:color w:val="000000"/>
        </w:rPr>
        <w:t>Section IV</w:t>
      </w:r>
      <w:r>
        <w:rPr>
          <w:color w:val="000000"/>
        </w:rPr>
        <w:t xml:space="preserve">, </w:t>
      </w:r>
      <w:r>
        <w:rPr>
          <w:color w:val="000000"/>
          <w:u w:val="single"/>
        </w:rPr>
        <w:t>Electrical Use</w:t>
      </w:r>
      <w:r>
        <w:rPr>
          <w:color w:val="000000"/>
        </w:rPr>
        <w:t>: This Chapter focuses mostly on energy used for operating equipment, but electrical use is predicted to expand significantly to include transportation and heating equipment as indicated in the first and fourth chapters. And,</w:t>
      </w:r>
    </w:p>
    <w:p w:rsidR="00C50CE0" w:rsidRDefault="0032395E" w:rsidP="00D72EE9">
      <w:pPr>
        <w:numPr>
          <w:ilvl w:val="0"/>
          <w:numId w:val="12"/>
        </w:numPr>
        <w:pBdr>
          <w:top w:val="nil"/>
          <w:left w:val="nil"/>
          <w:bottom w:val="nil"/>
          <w:right w:val="nil"/>
          <w:between w:val="nil"/>
        </w:pBdr>
        <w:ind w:left="690" w:hanging="330"/>
        <w:rPr>
          <w:color w:val="000000"/>
        </w:rPr>
      </w:pPr>
      <w:r>
        <w:rPr>
          <w:b/>
          <w:color w:val="000000"/>
        </w:rPr>
        <w:t>Section V</w:t>
      </w:r>
      <w:r>
        <w:rPr>
          <w:color w:val="000000"/>
        </w:rPr>
        <w:t xml:space="preserve">, </w:t>
      </w:r>
      <w:r>
        <w:rPr>
          <w:color w:val="000000"/>
          <w:u w:val="single"/>
        </w:rPr>
        <w:t>Land Use, Generation and Transmission</w:t>
      </w:r>
      <w:r>
        <w:rPr>
          <w:color w:val="000000"/>
        </w:rPr>
        <w:t>: This Chapter focuses on planning land uses to reduce vehicle trips and to site energy generation and transmission resources.</w:t>
      </w:r>
    </w:p>
    <w:p w:rsidR="00C50CE0" w:rsidRDefault="00C50CE0">
      <w:pPr>
        <w:pBdr>
          <w:top w:val="nil"/>
          <w:left w:val="nil"/>
          <w:bottom w:val="nil"/>
          <w:right w:val="nil"/>
          <w:between w:val="nil"/>
        </w:pBdr>
        <w:ind w:left="360"/>
        <w:rPr>
          <w:color w:val="000000"/>
        </w:rPr>
      </w:pPr>
    </w:p>
    <w:p w:rsidR="00C50CE0" w:rsidRDefault="0032395E">
      <w:pPr>
        <w:pBdr>
          <w:top w:val="nil"/>
          <w:left w:val="nil"/>
          <w:bottom w:val="nil"/>
          <w:right w:val="nil"/>
          <w:between w:val="nil"/>
        </w:pBdr>
        <w:spacing w:after="240"/>
        <w:rPr>
          <w:color w:val="000000"/>
        </w:rPr>
      </w:pPr>
      <w:r>
        <w:rPr>
          <w:color w:val="000000"/>
        </w:rPr>
        <w:t>Each chapter noted above will be broken into three subsections:</w:t>
      </w:r>
    </w:p>
    <w:p w:rsidR="00C50CE0" w:rsidRDefault="0032395E" w:rsidP="00D72EE9">
      <w:pPr>
        <w:numPr>
          <w:ilvl w:val="0"/>
          <w:numId w:val="13"/>
        </w:numPr>
        <w:pBdr>
          <w:top w:val="nil"/>
          <w:left w:val="nil"/>
          <w:bottom w:val="nil"/>
          <w:right w:val="nil"/>
          <w:between w:val="nil"/>
        </w:pBdr>
        <w:ind w:left="690" w:hanging="330"/>
        <w:rPr>
          <w:color w:val="000000"/>
        </w:rPr>
      </w:pPr>
      <w:r>
        <w:rPr>
          <w:color w:val="000000"/>
        </w:rPr>
        <w:t xml:space="preserve">The first subsection, entitled, </w:t>
      </w:r>
      <w:r>
        <w:rPr>
          <w:rFonts w:ascii="Calibri" w:eastAsia="Calibri" w:hAnsi="Calibri" w:cs="Calibri"/>
          <w:color w:val="000000"/>
        </w:rPr>
        <w:t>“</w:t>
      </w:r>
      <w:r>
        <w:rPr>
          <w:color w:val="000000"/>
        </w:rPr>
        <w:t>Use Analysis</w:t>
      </w:r>
      <w:r>
        <w:rPr>
          <w:rFonts w:ascii="Calibri" w:eastAsia="Calibri" w:hAnsi="Calibri" w:cs="Calibri"/>
          <w:color w:val="000000"/>
        </w:rPr>
        <w:t xml:space="preserve">” </w:t>
      </w:r>
      <w:r>
        <w:rPr>
          <w:color w:val="000000"/>
        </w:rPr>
        <w:t xml:space="preserve">will analyze current usage data in Bristol for each of the four energy sectors. It includes charts of usage and a discussion concerning the usage data. </w:t>
      </w:r>
    </w:p>
    <w:p w:rsidR="00C50CE0" w:rsidRDefault="0032395E" w:rsidP="00D72EE9">
      <w:pPr>
        <w:numPr>
          <w:ilvl w:val="0"/>
          <w:numId w:val="13"/>
        </w:numPr>
        <w:pBdr>
          <w:top w:val="nil"/>
          <w:left w:val="nil"/>
          <w:bottom w:val="nil"/>
          <w:right w:val="nil"/>
          <w:between w:val="nil"/>
        </w:pBdr>
        <w:ind w:left="690" w:hanging="330"/>
        <w:rPr>
          <w:color w:val="000000"/>
        </w:rPr>
      </w:pPr>
      <w:r>
        <w:rPr>
          <w:color w:val="000000"/>
        </w:rPr>
        <w:t xml:space="preserve">The second subsection will look at future projections of usage assuming Bristol intends to meet the State goals of using 90% renewables by 2050. This subsection, entitled </w:t>
      </w:r>
      <w:r>
        <w:rPr>
          <w:rFonts w:ascii="Calibri" w:eastAsia="Calibri" w:hAnsi="Calibri" w:cs="Calibri"/>
          <w:color w:val="000000"/>
        </w:rPr>
        <w:t>“</w:t>
      </w:r>
      <w:r>
        <w:rPr>
          <w:color w:val="000000"/>
        </w:rPr>
        <w:t>Targets</w:t>
      </w:r>
      <w:r>
        <w:rPr>
          <w:rFonts w:ascii="Calibri" w:eastAsia="Calibri" w:hAnsi="Calibri" w:cs="Calibri"/>
          <w:color w:val="000000"/>
        </w:rPr>
        <w:t xml:space="preserve">” </w:t>
      </w:r>
      <w:r>
        <w:rPr>
          <w:color w:val="000000"/>
        </w:rPr>
        <w:t>contains projections of usage targets. In 2016 Addison County Regional Planning Commission worked with the Vermont Energy Investment Corporation (VEIC) and the Vermont Department of Public Service to develop regional targets for future energy use and generation. The intent of these targets is to meet the State of Vermont</w:t>
      </w:r>
      <w:r>
        <w:rPr>
          <w:rFonts w:ascii="Calibri" w:eastAsia="Calibri" w:hAnsi="Calibri" w:cs="Calibri"/>
          <w:color w:val="000000"/>
        </w:rPr>
        <w:t>’</w:t>
      </w:r>
      <w:r>
        <w:rPr>
          <w:color w:val="000000"/>
        </w:rPr>
        <w:t>s 90 x 50 goal.  The targets represent one scenario of what meeting this goal may look like. However, there could be numerous different ways for Vermont to achieve the 90 x 50 goal.  For more information about the regional targets, please see the Addison County Regional Energy Plan (</w:t>
      </w:r>
      <w:hyperlink r:id="rId7">
        <w:r>
          <w:rPr>
            <w:color w:val="1155CC"/>
            <w:u w:val="single"/>
          </w:rPr>
          <w:t>http://acrpc.org/programs-services/energy/</w:t>
        </w:r>
      </w:hyperlink>
      <w:r>
        <w:rPr>
          <w:color w:val="000000"/>
        </w:rPr>
        <w:t xml:space="preserve"> ).  </w:t>
      </w:r>
    </w:p>
    <w:p w:rsidR="00C50CE0" w:rsidRDefault="0032395E" w:rsidP="00D72EE9">
      <w:pPr>
        <w:numPr>
          <w:ilvl w:val="0"/>
          <w:numId w:val="13"/>
        </w:numPr>
        <w:pBdr>
          <w:top w:val="nil"/>
          <w:left w:val="nil"/>
          <w:bottom w:val="nil"/>
          <w:right w:val="nil"/>
          <w:between w:val="nil"/>
        </w:pBdr>
        <w:ind w:left="690" w:hanging="330"/>
        <w:rPr>
          <w:color w:val="000000"/>
        </w:rPr>
      </w:pPr>
      <w:r>
        <w:rPr>
          <w:color w:val="000000"/>
        </w:rPr>
        <w:t>The third subsection in each chapter provides goals, policies and recommended actions to implement the plan. Additionally, the Land Use, Generation and Transmission chapter will include a mapping analysis of Bristol</w:t>
      </w:r>
      <w:r>
        <w:rPr>
          <w:rFonts w:ascii="Calibri" w:eastAsia="Calibri" w:hAnsi="Calibri" w:cs="Calibri"/>
          <w:color w:val="000000"/>
        </w:rPr>
        <w:t>’</w:t>
      </w:r>
      <w:r>
        <w:rPr>
          <w:color w:val="000000"/>
        </w:rPr>
        <w:t>s energy resources and constraints and a siting policy for new generation.</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ind w:left="360"/>
        <w:rPr>
          <w:b/>
          <w:color w:val="000000"/>
        </w:rPr>
      </w:pPr>
      <w:r>
        <w:rPr>
          <w:b/>
          <w:color w:val="000000"/>
        </w:rPr>
        <w:t>Energy Plan Assumptions:</w:t>
      </w:r>
    </w:p>
    <w:p w:rsidR="00C50CE0" w:rsidRDefault="0032395E">
      <w:pPr>
        <w:pBdr>
          <w:top w:val="nil"/>
          <w:left w:val="nil"/>
          <w:bottom w:val="nil"/>
          <w:right w:val="nil"/>
          <w:between w:val="nil"/>
        </w:pBdr>
        <w:ind w:left="360" w:firstLine="360"/>
        <w:rPr>
          <w:color w:val="000000"/>
        </w:rPr>
      </w:pPr>
      <w:r>
        <w:rPr>
          <w:color w:val="000000"/>
        </w:rPr>
        <w:t>This plan is based on the assumptions that:</w:t>
      </w:r>
    </w:p>
    <w:p w:rsidR="00C50CE0" w:rsidRDefault="0032395E" w:rsidP="00D72EE9">
      <w:pPr>
        <w:numPr>
          <w:ilvl w:val="0"/>
          <w:numId w:val="14"/>
        </w:numPr>
        <w:pBdr>
          <w:top w:val="nil"/>
          <w:left w:val="nil"/>
          <w:bottom w:val="nil"/>
          <w:right w:val="nil"/>
          <w:between w:val="nil"/>
        </w:pBdr>
        <w:ind w:left="1410" w:hanging="330"/>
        <w:rPr>
          <w:color w:val="000000"/>
        </w:rPr>
      </w:pPr>
      <w:r>
        <w:rPr>
          <w:color w:val="000000"/>
        </w:rPr>
        <w:t>Energy may not be abundant or cheap in the future;</w:t>
      </w:r>
    </w:p>
    <w:p w:rsidR="00C50CE0" w:rsidRDefault="0032395E" w:rsidP="00D72EE9">
      <w:pPr>
        <w:numPr>
          <w:ilvl w:val="0"/>
          <w:numId w:val="15"/>
        </w:numPr>
        <w:pBdr>
          <w:top w:val="nil"/>
          <w:left w:val="nil"/>
          <w:bottom w:val="nil"/>
          <w:right w:val="nil"/>
          <w:between w:val="nil"/>
        </w:pBdr>
        <w:ind w:left="1410" w:hanging="330"/>
        <w:rPr>
          <w:color w:val="000000"/>
        </w:rPr>
      </w:pPr>
      <w:r>
        <w:rPr>
          <w:color w:val="000000"/>
        </w:rPr>
        <w:t>The full social, environmental, and economic costs of energy are not reflected in present market prices;</w:t>
      </w:r>
    </w:p>
    <w:p w:rsidR="00C50CE0" w:rsidRDefault="0032395E" w:rsidP="00D72EE9">
      <w:pPr>
        <w:numPr>
          <w:ilvl w:val="0"/>
          <w:numId w:val="16"/>
        </w:numPr>
        <w:pBdr>
          <w:top w:val="nil"/>
          <w:left w:val="nil"/>
          <w:bottom w:val="nil"/>
          <w:right w:val="nil"/>
          <w:between w:val="nil"/>
        </w:pBdr>
        <w:ind w:left="1410" w:hanging="330"/>
        <w:rPr>
          <w:color w:val="000000"/>
        </w:rPr>
      </w:pPr>
      <w:r>
        <w:rPr>
          <w:color w:val="000000"/>
        </w:rPr>
        <w:t>The public interest is served by conserving energy, reducing consumption of nonrenewable energy and shifting reliance to renewable energy; and,</w:t>
      </w:r>
    </w:p>
    <w:p w:rsidR="00C50CE0" w:rsidRDefault="0032395E" w:rsidP="00D72EE9">
      <w:pPr>
        <w:numPr>
          <w:ilvl w:val="0"/>
          <w:numId w:val="18"/>
        </w:numPr>
        <w:pBdr>
          <w:top w:val="nil"/>
          <w:left w:val="nil"/>
          <w:bottom w:val="nil"/>
          <w:right w:val="nil"/>
          <w:between w:val="nil"/>
        </w:pBdr>
        <w:ind w:left="1410" w:hanging="330"/>
        <w:rPr>
          <w:color w:val="000000"/>
        </w:rPr>
      </w:pPr>
      <w:r>
        <w:rPr>
          <w:color w:val="000000"/>
        </w:rPr>
        <w:t>Each town must play a role in shaping and implementing policies and actions that promote wise energy use.</w:t>
      </w:r>
    </w:p>
    <w:p w:rsidR="00C50CE0" w:rsidRDefault="0032395E">
      <w:pPr>
        <w:pBdr>
          <w:top w:val="nil"/>
          <w:left w:val="nil"/>
          <w:bottom w:val="nil"/>
          <w:right w:val="nil"/>
          <w:between w:val="nil"/>
        </w:pBdr>
        <w:rPr>
          <w:rFonts w:ascii="Calibri" w:eastAsia="Calibri" w:hAnsi="Calibri" w:cs="Calibri"/>
          <w:color w:val="000000"/>
          <w:sz w:val="22"/>
          <w:szCs w:val="22"/>
        </w:rPr>
      </w:pPr>
      <w:r>
        <w:br w:type="page"/>
      </w:r>
    </w:p>
    <w:p w:rsidR="00C50CE0" w:rsidRDefault="0032395E">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lastRenderedPageBreak/>
        <w:t>Thermal Use Analysis</w:t>
      </w:r>
    </w:p>
    <w:p w:rsidR="00C50CE0" w:rsidRDefault="0032395E">
      <w:pPr>
        <w:pBdr>
          <w:top w:val="nil"/>
          <w:left w:val="nil"/>
          <w:bottom w:val="nil"/>
          <w:right w:val="nil"/>
          <w:between w:val="nil"/>
        </w:pBdr>
        <w:rPr>
          <w:b/>
          <w:color w:val="548DD4"/>
        </w:rPr>
      </w:pPr>
      <w:r>
        <w:rPr>
          <w:b/>
          <w:color w:val="548DD4"/>
        </w:rPr>
        <w:t>Thermal Use</w:t>
      </w:r>
    </w:p>
    <w:p w:rsidR="00C50CE0" w:rsidRDefault="0032395E">
      <w:pPr>
        <w:pBdr>
          <w:top w:val="nil"/>
          <w:left w:val="nil"/>
          <w:bottom w:val="nil"/>
          <w:right w:val="nil"/>
          <w:between w:val="nil"/>
        </w:pBdr>
        <w:rPr>
          <w:color w:val="000000"/>
        </w:rPr>
      </w:pPr>
      <w:r>
        <w:rPr>
          <w:color w:val="000000"/>
        </w:rPr>
        <w:t>An estimate of current residential thermal energy demand in Bristol, based on data from the American Community Survey (2011-2015), is shown in Table 1.  The data shows that the largest number of residences in Bristol currently heat with fuel oil (about 55.</w:t>
      </w:r>
      <w:r>
        <w:t>9</w:t>
      </w:r>
      <w:r>
        <w:rPr>
          <w:color w:val="000000"/>
        </w:rPr>
        <w:t>%), followed by propane (2</w:t>
      </w:r>
      <w:r>
        <w:t>4</w:t>
      </w:r>
      <w:r>
        <w:rPr>
          <w:color w:val="000000"/>
        </w:rPr>
        <w:t>.</w:t>
      </w:r>
      <w:r>
        <w:t>9</w:t>
      </w:r>
      <w:r>
        <w:rPr>
          <w:color w:val="000000"/>
        </w:rPr>
        <w:t>%) and wood (18.2%).  Together these three heating sources account for nearly all (over 9</w:t>
      </w:r>
      <w:r>
        <w:t>9</w:t>
      </w:r>
      <w:r>
        <w:rPr>
          <w:color w:val="000000"/>
        </w:rPr>
        <w:t xml:space="preserve">%) of residential thermal heating fuel usage in Bristol.  </w:t>
      </w:r>
    </w:p>
    <w:p w:rsidR="00C50CE0" w:rsidRDefault="00C50CE0">
      <w:pPr>
        <w:widowControl w:val="0"/>
        <w:pBdr>
          <w:top w:val="nil"/>
          <w:left w:val="nil"/>
          <w:bottom w:val="nil"/>
          <w:right w:val="nil"/>
          <w:between w:val="nil"/>
        </w:pBdr>
        <w:rPr>
          <w:b/>
          <w:color w:val="FF0000"/>
        </w:rPr>
      </w:pPr>
    </w:p>
    <w:tbl>
      <w:tblPr>
        <w:tblStyle w:val="a"/>
        <w:tblW w:w="937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935"/>
        <w:gridCol w:w="1770"/>
        <w:gridCol w:w="1980"/>
        <w:gridCol w:w="2070"/>
        <w:gridCol w:w="1620"/>
      </w:tblGrid>
      <w:tr w:rsidR="00C50CE0">
        <w:trPr>
          <w:trHeight w:val="280"/>
        </w:trPr>
        <w:tc>
          <w:tcPr>
            <w:tcW w:w="9375" w:type="dxa"/>
            <w:gridSpan w:val="5"/>
            <w:tcBorders>
              <w:top w:val="nil"/>
              <w:left w:val="nil"/>
              <w:bottom w:val="nil"/>
              <w:right w:val="nil"/>
            </w:tcBorders>
            <w:shd w:val="clear" w:color="auto" w:fill="333399"/>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Table 1. Current Municipal Residential Heating Energy Use</w:t>
            </w:r>
          </w:p>
        </w:tc>
      </w:tr>
      <w:tr w:rsidR="00C50CE0">
        <w:trPr>
          <w:trHeight w:val="880"/>
        </w:trPr>
        <w:tc>
          <w:tcPr>
            <w:tcW w:w="1935" w:type="dxa"/>
            <w:tcBorders>
              <w:top w:val="nil"/>
              <w:left w:val="nil"/>
              <w:bottom w:val="single" w:sz="4" w:space="0" w:color="FFFFFF"/>
              <w:right w:val="single" w:sz="4" w:space="0" w:color="FFFFFF"/>
            </w:tcBorders>
            <w:shd w:val="clear" w:color="auto" w:fill="333399"/>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Fuel Source</w:t>
            </w:r>
          </w:p>
        </w:tc>
        <w:tc>
          <w:tcPr>
            <w:tcW w:w="1770" w:type="dxa"/>
            <w:tcBorders>
              <w:top w:val="nil"/>
              <w:left w:val="single" w:sz="4" w:space="0" w:color="FFFFFF"/>
              <w:bottom w:val="single" w:sz="4" w:space="0" w:color="FFFFFF"/>
              <w:right w:val="single" w:sz="4" w:space="0" w:color="FFFFFF"/>
            </w:tcBorders>
            <w:shd w:val="clear" w:color="auto" w:fill="333399"/>
            <w:tcMar>
              <w:top w:w="80" w:type="dxa"/>
              <w:left w:w="80" w:type="dxa"/>
              <w:bottom w:w="80" w:type="dxa"/>
              <w:right w:w="80" w:type="dxa"/>
            </w:tcMar>
            <w:vAlign w:val="bottom"/>
          </w:tcPr>
          <w:p w:rsidR="00C50CE0" w:rsidRDefault="0032395E">
            <w:pPr>
              <w:pBdr>
                <w:top w:val="nil"/>
                <w:left w:val="nil"/>
                <w:bottom w:val="nil"/>
                <w:right w:val="nil"/>
                <w:between w:val="nil"/>
              </w:pBdr>
              <w:rPr>
                <w:b/>
                <w:color w:val="FFFFFF"/>
              </w:rPr>
            </w:pPr>
            <w:r>
              <w:rPr>
                <w:b/>
                <w:color w:val="FFFFFF"/>
              </w:rPr>
              <w:t xml:space="preserve"># Households Using </w:t>
            </w:r>
          </w:p>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(ACS 2017)</w:t>
            </w:r>
          </w:p>
        </w:tc>
        <w:tc>
          <w:tcPr>
            <w:tcW w:w="1980" w:type="dxa"/>
            <w:tcBorders>
              <w:top w:val="nil"/>
              <w:left w:val="single" w:sz="4" w:space="0" w:color="FFFFFF"/>
              <w:bottom w:val="single" w:sz="4" w:space="0" w:color="FFFFFF"/>
              <w:right w:val="single" w:sz="4" w:space="0" w:color="FFFFFF"/>
            </w:tcBorders>
            <w:shd w:val="clear" w:color="auto" w:fill="333399"/>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Municipal % of Households</w:t>
            </w:r>
          </w:p>
        </w:tc>
        <w:tc>
          <w:tcPr>
            <w:tcW w:w="2070" w:type="dxa"/>
            <w:tcBorders>
              <w:top w:val="nil"/>
              <w:left w:val="single" w:sz="4" w:space="0" w:color="FFFFFF"/>
              <w:bottom w:val="single" w:sz="4" w:space="0" w:color="FFFFFF"/>
              <w:right w:val="single" w:sz="4" w:space="0" w:color="FFFFFF"/>
            </w:tcBorders>
            <w:shd w:val="clear" w:color="auto" w:fill="333399"/>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Residential Square Footage Heated</w:t>
            </w:r>
          </w:p>
        </w:tc>
        <w:tc>
          <w:tcPr>
            <w:tcW w:w="1620" w:type="dxa"/>
            <w:tcBorders>
              <w:top w:val="nil"/>
              <w:left w:val="single" w:sz="4" w:space="0" w:color="FFFFFF"/>
              <w:bottom w:val="single" w:sz="4" w:space="0" w:color="FFFFFF"/>
              <w:right w:val="nil"/>
            </w:tcBorders>
            <w:shd w:val="clear" w:color="auto" w:fill="333399"/>
            <w:tcMar>
              <w:top w:w="80" w:type="dxa"/>
              <w:left w:w="80" w:type="dxa"/>
              <w:bottom w:w="80" w:type="dxa"/>
              <w:right w:w="80" w:type="dxa"/>
            </w:tcMar>
            <w:vAlign w:val="bottom"/>
          </w:tcPr>
          <w:p w:rsidR="00C50CE0" w:rsidRDefault="0032395E">
            <w:pPr>
              <w:pBdr>
                <w:top w:val="nil"/>
                <w:left w:val="nil"/>
                <w:bottom w:val="nil"/>
                <w:right w:val="nil"/>
                <w:between w:val="nil"/>
              </w:pBdr>
              <w:rPr>
                <w:b/>
                <w:color w:val="FFFFFF"/>
              </w:rPr>
            </w:pPr>
            <w:r>
              <w:rPr>
                <w:b/>
                <w:color w:val="FFFFFF"/>
              </w:rPr>
              <w:t xml:space="preserve">Municipal BTU </w:t>
            </w:r>
          </w:p>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(in Billions)</w:t>
            </w:r>
          </w:p>
        </w:tc>
      </w:tr>
      <w:tr w:rsidR="00C50CE0" w:rsidTr="0004730F">
        <w:trPr>
          <w:trHeight w:val="540"/>
        </w:trPr>
        <w:tc>
          <w:tcPr>
            <w:tcW w:w="1935" w:type="dxa"/>
            <w:tcBorders>
              <w:top w:val="single" w:sz="4" w:space="0" w:color="FFFFFF"/>
              <w:left w:val="nil"/>
              <w:bottom w:val="single" w:sz="4" w:space="0" w:color="FFFFFF"/>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pPr>
            <w:r>
              <w:t>Utility Gas (</w:t>
            </w:r>
            <w:r>
              <w:rPr>
                <w:color w:val="000000"/>
              </w:rPr>
              <w:t xml:space="preserve">Natural </w:t>
            </w:r>
            <w:proofErr w:type="gramStart"/>
            <w:r>
              <w:rPr>
                <w:color w:val="000000"/>
              </w:rPr>
              <w:t>Gas)</w:t>
            </w:r>
            <w:r>
              <w:rPr>
                <w:vertAlign w:val="superscript"/>
              </w:rPr>
              <w:t>[</w:t>
            </w:r>
            <w:proofErr w:type="gramEnd"/>
            <w:r>
              <w:rPr>
                <w:vertAlign w:val="superscript"/>
              </w:rPr>
              <w:t>1]</w:t>
            </w:r>
          </w:p>
        </w:tc>
        <w:tc>
          <w:tcPr>
            <w:tcW w:w="177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10</w:t>
            </w:r>
          </w:p>
        </w:tc>
        <w:tc>
          <w:tcPr>
            <w:tcW w:w="198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t>0.6</w:t>
            </w:r>
            <w:r>
              <w:rPr>
                <w:color w:val="000000"/>
              </w:rPr>
              <w:t>%</w:t>
            </w:r>
          </w:p>
        </w:tc>
        <w:tc>
          <w:tcPr>
            <w:tcW w:w="207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31,900</w:t>
            </w:r>
          </w:p>
        </w:tc>
        <w:tc>
          <w:tcPr>
            <w:tcW w:w="162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1.914</w:t>
            </w:r>
          </w:p>
        </w:tc>
      </w:tr>
      <w:tr w:rsidR="00C50CE0">
        <w:trPr>
          <w:trHeight w:val="300"/>
        </w:trPr>
        <w:tc>
          <w:tcPr>
            <w:tcW w:w="1935" w:type="dxa"/>
            <w:tcBorders>
              <w:top w:val="single" w:sz="4" w:space="0" w:color="FFFFFF"/>
              <w:left w:val="nil"/>
              <w:bottom w:val="single" w:sz="4" w:space="0" w:color="FFFFFF"/>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Propane</w:t>
            </w:r>
          </w:p>
        </w:tc>
        <w:tc>
          <w:tcPr>
            <w:tcW w:w="177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t>408</w:t>
            </w:r>
          </w:p>
        </w:tc>
        <w:tc>
          <w:tcPr>
            <w:tcW w:w="198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2</w:t>
            </w:r>
            <w:r>
              <w:t>4.9</w:t>
            </w:r>
            <w:r>
              <w:rPr>
                <w:color w:val="000000"/>
              </w:rPr>
              <w:t>%</w:t>
            </w:r>
          </w:p>
        </w:tc>
        <w:tc>
          <w:tcPr>
            <w:tcW w:w="207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507,596</w:t>
            </w:r>
          </w:p>
        </w:tc>
        <w:tc>
          <w:tcPr>
            <w:tcW w:w="1620"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30.456</w:t>
            </w:r>
          </w:p>
        </w:tc>
      </w:tr>
      <w:tr w:rsidR="00C50CE0">
        <w:trPr>
          <w:trHeight w:val="300"/>
        </w:trPr>
        <w:tc>
          <w:tcPr>
            <w:tcW w:w="1935" w:type="dxa"/>
            <w:tcBorders>
              <w:top w:val="single" w:sz="4" w:space="0" w:color="FFFFFF"/>
              <w:left w:val="nil"/>
              <w:bottom w:val="single" w:sz="4" w:space="0" w:color="FFFFFF"/>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Electricity</w:t>
            </w:r>
          </w:p>
        </w:tc>
        <w:tc>
          <w:tcPr>
            <w:tcW w:w="177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t>8</w:t>
            </w:r>
          </w:p>
        </w:tc>
        <w:tc>
          <w:tcPr>
            <w:tcW w:w="198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w:t>
            </w:r>
            <w:r>
              <w:t>5</w:t>
            </w:r>
            <w:r>
              <w:rPr>
                <w:color w:val="000000"/>
              </w:rPr>
              <w:t>%</w:t>
            </w:r>
          </w:p>
        </w:tc>
        <w:tc>
          <w:tcPr>
            <w:tcW w:w="207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18,432</w:t>
            </w:r>
          </w:p>
        </w:tc>
        <w:tc>
          <w:tcPr>
            <w:tcW w:w="162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1.106</w:t>
            </w:r>
          </w:p>
        </w:tc>
      </w:tr>
      <w:tr w:rsidR="00C50CE0">
        <w:trPr>
          <w:trHeight w:val="300"/>
        </w:trPr>
        <w:tc>
          <w:tcPr>
            <w:tcW w:w="1935" w:type="dxa"/>
            <w:tcBorders>
              <w:top w:val="single" w:sz="4" w:space="0" w:color="FFFFFF"/>
              <w:left w:val="nil"/>
              <w:bottom w:val="single" w:sz="4" w:space="0" w:color="FFFFFF"/>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Fuel Oil</w:t>
            </w:r>
          </w:p>
        </w:tc>
        <w:tc>
          <w:tcPr>
            <w:tcW w:w="177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t>917</w:t>
            </w:r>
          </w:p>
        </w:tc>
        <w:tc>
          <w:tcPr>
            <w:tcW w:w="198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55.</w:t>
            </w:r>
            <w:r>
              <w:t>9</w:t>
            </w:r>
            <w:r>
              <w:rPr>
                <w:color w:val="000000"/>
              </w:rPr>
              <w:t>%</w:t>
            </w:r>
          </w:p>
        </w:tc>
        <w:tc>
          <w:tcPr>
            <w:tcW w:w="207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1,535,620</w:t>
            </w:r>
          </w:p>
        </w:tc>
        <w:tc>
          <w:tcPr>
            <w:tcW w:w="1620"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92.137</w:t>
            </w:r>
          </w:p>
        </w:tc>
      </w:tr>
      <w:tr w:rsidR="00C50CE0">
        <w:trPr>
          <w:trHeight w:val="300"/>
        </w:trPr>
        <w:tc>
          <w:tcPr>
            <w:tcW w:w="1935" w:type="dxa"/>
            <w:tcBorders>
              <w:top w:val="single" w:sz="4" w:space="0" w:color="FFFFFF"/>
              <w:left w:val="nil"/>
              <w:bottom w:val="single" w:sz="4" w:space="0" w:color="FFFFFF"/>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Coal</w:t>
            </w:r>
          </w:p>
        </w:tc>
        <w:tc>
          <w:tcPr>
            <w:tcW w:w="177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w:t>
            </w:r>
          </w:p>
        </w:tc>
        <w:tc>
          <w:tcPr>
            <w:tcW w:w="198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0.0%</w:t>
            </w:r>
          </w:p>
        </w:tc>
        <w:tc>
          <w:tcPr>
            <w:tcW w:w="207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w:t>
            </w:r>
          </w:p>
        </w:tc>
        <w:tc>
          <w:tcPr>
            <w:tcW w:w="162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0.000</w:t>
            </w:r>
          </w:p>
        </w:tc>
      </w:tr>
      <w:tr w:rsidR="00C50CE0">
        <w:trPr>
          <w:trHeight w:val="300"/>
        </w:trPr>
        <w:tc>
          <w:tcPr>
            <w:tcW w:w="1935" w:type="dxa"/>
            <w:tcBorders>
              <w:top w:val="single" w:sz="4" w:space="0" w:color="FFFFFF"/>
              <w:left w:val="nil"/>
              <w:bottom w:val="single" w:sz="4" w:space="0" w:color="FFFFFF"/>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Wood</w:t>
            </w:r>
          </w:p>
        </w:tc>
        <w:tc>
          <w:tcPr>
            <w:tcW w:w="177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color w:val="000000"/>
                <w:sz w:val="22"/>
                <w:szCs w:val="22"/>
              </w:rPr>
            </w:pPr>
            <w:r>
              <w:rPr>
                <w:sz w:val="22"/>
                <w:szCs w:val="22"/>
              </w:rPr>
              <w:t>299</w:t>
            </w:r>
          </w:p>
        </w:tc>
        <w:tc>
          <w:tcPr>
            <w:tcW w:w="198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18.2%</w:t>
            </w:r>
          </w:p>
        </w:tc>
        <w:tc>
          <w:tcPr>
            <w:tcW w:w="207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536,576</w:t>
            </w:r>
          </w:p>
        </w:tc>
        <w:tc>
          <w:tcPr>
            <w:tcW w:w="1620"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32.195</w:t>
            </w:r>
          </w:p>
        </w:tc>
      </w:tr>
      <w:tr w:rsidR="00C50CE0">
        <w:trPr>
          <w:trHeight w:val="300"/>
        </w:trPr>
        <w:tc>
          <w:tcPr>
            <w:tcW w:w="1935" w:type="dxa"/>
            <w:tcBorders>
              <w:top w:val="single" w:sz="4" w:space="0" w:color="FFFFFF"/>
              <w:left w:val="nil"/>
              <w:bottom w:val="single" w:sz="4" w:space="0" w:color="FFFFFF"/>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Solar</w:t>
            </w:r>
          </w:p>
        </w:tc>
        <w:tc>
          <w:tcPr>
            <w:tcW w:w="177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w:t>
            </w:r>
          </w:p>
        </w:tc>
        <w:tc>
          <w:tcPr>
            <w:tcW w:w="198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0.0%</w:t>
            </w:r>
          </w:p>
        </w:tc>
        <w:tc>
          <w:tcPr>
            <w:tcW w:w="207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w:t>
            </w:r>
          </w:p>
        </w:tc>
        <w:tc>
          <w:tcPr>
            <w:tcW w:w="162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0.000</w:t>
            </w:r>
          </w:p>
        </w:tc>
      </w:tr>
      <w:tr w:rsidR="00C50CE0">
        <w:trPr>
          <w:trHeight w:val="300"/>
        </w:trPr>
        <w:tc>
          <w:tcPr>
            <w:tcW w:w="1935" w:type="dxa"/>
            <w:tcBorders>
              <w:top w:val="single" w:sz="4" w:space="0" w:color="FFFFFF"/>
              <w:left w:val="nil"/>
              <w:bottom w:val="single" w:sz="4" w:space="0" w:color="FFFFFF"/>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Other</w:t>
            </w:r>
          </w:p>
        </w:tc>
        <w:tc>
          <w:tcPr>
            <w:tcW w:w="177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t>0</w:t>
            </w:r>
          </w:p>
        </w:tc>
        <w:tc>
          <w:tcPr>
            <w:tcW w:w="198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2.5%</w:t>
            </w:r>
          </w:p>
        </w:tc>
        <w:tc>
          <w:tcPr>
            <w:tcW w:w="207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60,912</w:t>
            </w:r>
          </w:p>
        </w:tc>
        <w:tc>
          <w:tcPr>
            <w:tcW w:w="1620"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3.655</w:t>
            </w:r>
          </w:p>
        </w:tc>
      </w:tr>
      <w:tr w:rsidR="00C50CE0">
        <w:trPr>
          <w:trHeight w:val="300"/>
        </w:trPr>
        <w:tc>
          <w:tcPr>
            <w:tcW w:w="1935" w:type="dxa"/>
            <w:tcBorders>
              <w:top w:val="single" w:sz="4" w:space="0" w:color="FFFFFF"/>
              <w:left w:val="nil"/>
              <w:bottom w:val="single" w:sz="4" w:space="0" w:color="FFFFFF"/>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No Fuel</w:t>
            </w:r>
          </w:p>
        </w:tc>
        <w:tc>
          <w:tcPr>
            <w:tcW w:w="177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w:t>
            </w:r>
          </w:p>
        </w:tc>
        <w:tc>
          <w:tcPr>
            <w:tcW w:w="198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0.0%</w:t>
            </w:r>
          </w:p>
        </w:tc>
        <w:tc>
          <w:tcPr>
            <w:tcW w:w="207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w:t>
            </w:r>
          </w:p>
        </w:tc>
        <w:tc>
          <w:tcPr>
            <w:tcW w:w="162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color w:val="000000"/>
              </w:rPr>
              <w:t>0.000</w:t>
            </w:r>
          </w:p>
        </w:tc>
      </w:tr>
      <w:tr w:rsidR="00C50CE0">
        <w:trPr>
          <w:trHeight w:val="280"/>
        </w:trPr>
        <w:tc>
          <w:tcPr>
            <w:tcW w:w="1935" w:type="dxa"/>
            <w:tcBorders>
              <w:top w:val="single" w:sz="4" w:space="0" w:color="FFFFFF"/>
              <w:left w:val="nil"/>
              <w:bottom w:val="nil"/>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rPr>
              <w:t>Total</w:t>
            </w:r>
          </w:p>
        </w:tc>
        <w:tc>
          <w:tcPr>
            <w:tcW w:w="1770" w:type="dxa"/>
            <w:tcBorders>
              <w:top w:val="single" w:sz="4" w:space="0" w:color="FFFFFF"/>
              <w:left w:val="single" w:sz="4" w:space="0" w:color="FFFFFF"/>
              <w:bottom w:val="nil"/>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b/>
              </w:rPr>
              <w:t>1642</w:t>
            </w:r>
          </w:p>
        </w:tc>
        <w:tc>
          <w:tcPr>
            <w:tcW w:w="1980" w:type="dxa"/>
            <w:tcBorders>
              <w:top w:val="single" w:sz="4" w:space="0" w:color="FFFFFF"/>
              <w:left w:val="single" w:sz="4" w:space="0" w:color="FFFFFF"/>
              <w:bottom w:val="nil"/>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b/>
                <w:color w:val="000000"/>
              </w:rPr>
              <w:t>100.0%</w:t>
            </w:r>
          </w:p>
        </w:tc>
        <w:tc>
          <w:tcPr>
            <w:tcW w:w="2070" w:type="dxa"/>
            <w:tcBorders>
              <w:top w:val="single" w:sz="4" w:space="0" w:color="FFFFFF"/>
              <w:left w:val="single" w:sz="4" w:space="0" w:color="FFFFFF"/>
              <w:bottom w:val="nil"/>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b/>
                <w:color w:val="000000"/>
              </w:rPr>
              <w:t>2,691,036</w:t>
            </w:r>
          </w:p>
        </w:tc>
        <w:tc>
          <w:tcPr>
            <w:tcW w:w="1620" w:type="dxa"/>
            <w:tcBorders>
              <w:top w:val="single" w:sz="4" w:space="0" w:color="FFFFFF"/>
              <w:left w:val="single" w:sz="4" w:space="0" w:color="FFFFFF"/>
              <w:bottom w:val="nil"/>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ind w:firstLine="360"/>
              <w:jc w:val="right"/>
              <w:rPr>
                <w:rFonts w:ascii="Calibri" w:eastAsia="Calibri" w:hAnsi="Calibri" w:cs="Calibri"/>
                <w:color w:val="000000"/>
                <w:sz w:val="22"/>
                <w:szCs w:val="22"/>
              </w:rPr>
            </w:pPr>
            <w:r>
              <w:rPr>
                <w:b/>
                <w:color w:val="000000"/>
              </w:rPr>
              <w:t>161.462</w:t>
            </w:r>
          </w:p>
        </w:tc>
      </w:tr>
    </w:tbl>
    <w:p w:rsidR="00C50CE0" w:rsidRDefault="00C50CE0">
      <w:pPr>
        <w:widowControl w:val="0"/>
        <w:pBdr>
          <w:top w:val="nil"/>
          <w:left w:val="nil"/>
          <w:bottom w:val="nil"/>
          <w:right w:val="nil"/>
          <w:between w:val="nil"/>
        </w:pBdr>
        <w:rPr>
          <w:b/>
          <w:color w:val="FF0000"/>
        </w:rPr>
      </w:pPr>
    </w:p>
    <w:p w:rsidR="00C50CE0" w:rsidRDefault="00C50CE0">
      <w:pPr>
        <w:pBdr>
          <w:top w:val="nil"/>
          <w:left w:val="nil"/>
          <w:bottom w:val="nil"/>
          <w:right w:val="nil"/>
          <w:between w:val="nil"/>
        </w:pBdr>
        <w:rPr>
          <w:b/>
          <w:color w:val="000000"/>
        </w:rPr>
      </w:pPr>
    </w:p>
    <w:p w:rsidR="00C50CE0" w:rsidRDefault="0032395E">
      <w:pPr>
        <w:pBdr>
          <w:top w:val="nil"/>
          <w:left w:val="nil"/>
          <w:bottom w:val="nil"/>
          <w:right w:val="nil"/>
          <w:between w:val="nil"/>
        </w:pBdr>
        <w:rPr>
          <w:color w:val="000000"/>
        </w:rPr>
      </w:pPr>
      <w:r>
        <w:rPr>
          <w:color w:val="000000"/>
        </w:rPr>
        <w:t xml:space="preserve">Wood constitutes a carbon neutral renewable resource that is currently abundant in much of Bristol.  Both fuel oil and propane gas constitute fossil fuels. In order to meet State targets, their use will need to be largely eliminated by 2050. Making homes more thermally efficient is one way to reduce fossil fuel use. Another is to improve the technology to make it work more efficiently.  The third, and over the long-term best solution is to replace the fuel source with technology using an alternative, renewable fuel source, like electricity produced through renewable generation. The cost of the change, both capital investment in new equipment and the price of the fuels being used constitute the major barrier to entry.  While the Town of Bristol has little control over the costs of energy, it can work to encourage conservation, efficiency and lower local generation costs.  </w:t>
      </w:r>
    </w:p>
    <w:p w:rsidR="00C50CE0" w:rsidRDefault="00C50CE0">
      <w:pPr>
        <w:pBdr>
          <w:top w:val="nil"/>
          <w:left w:val="nil"/>
          <w:bottom w:val="nil"/>
          <w:right w:val="nil"/>
          <w:between w:val="nil"/>
        </w:pBdr>
        <w:rPr>
          <w:color w:val="000000"/>
        </w:rPr>
      </w:pPr>
    </w:p>
    <w:p w:rsidR="00C50CE0" w:rsidRDefault="00C50CE0">
      <w:pPr>
        <w:pBdr>
          <w:top w:val="nil"/>
          <w:left w:val="nil"/>
          <w:bottom w:val="nil"/>
          <w:right w:val="nil"/>
          <w:between w:val="nil"/>
        </w:pBdr>
      </w:pPr>
    </w:p>
    <w:p w:rsidR="00C50CE0" w:rsidRDefault="006B64CF">
      <w:pPr>
        <w:pBdr>
          <w:top w:val="nil"/>
          <w:left w:val="nil"/>
          <w:bottom w:val="nil"/>
          <w:right w:val="nil"/>
          <w:between w:val="nil"/>
        </w:pBdr>
      </w:pPr>
      <w:r>
        <w:pict>
          <v:rect id="_x0000_i1025" style="width:0;height:1.5pt" o:hralign="center" o:hrstd="t" o:hr="t" fillcolor="#a0a0a0" stroked="f"/>
        </w:pict>
      </w:r>
    </w:p>
    <w:p w:rsidR="00C50CE0" w:rsidRDefault="0032395E">
      <w:pPr>
        <w:pBdr>
          <w:top w:val="nil"/>
          <w:left w:val="nil"/>
          <w:bottom w:val="nil"/>
          <w:right w:val="nil"/>
          <w:between w:val="nil"/>
        </w:pBdr>
        <w:rPr>
          <w:color w:val="000000"/>
          <w:sz w:val="20"/>
          <w:szCs w:val="20"/>
        </w:rPr>
      </w:pPr>
      <w:r>
        <w:rPr>
          <w:sz w:val="20"/>
          <w:szCs w:val="20"/>
        </w:rPr>
        <w:t>[1] The survey shows that 0.6% of households’ heat with natural gas. However, since that fuel source is not currently available in Bristol, we believe it may be an error in response and that those respondents likely heat with propane</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lastRenderedPageBreak/>
        <w:t xml:space="preserve">Estimates for commercial and industrial thermal energy use are more difficult to calculate.  An estimate of total commercial energy use (thermal and electricity) is provided in Table 2 and based on data from the Vermont Department of Labor (VT DOL) and the Vermont Department of Public Service (VT DPS). </w:t>
      </w:r>
    </w:p>
    <w:p w:rsidR="00C50CE0" w:rsidRDefault="00C50CE0">
      <w:pPr>
        <w:widowControl w:val="0"/>
        <w:pBdr>
          <w:top w:val="nil"/>
          <w:left w:val="nil"/>
          <w:bottom w:val="nil"/>
          <w:right w:val="nil"/>
          <w:between w:val="nil"/>
        </w:pBdr>
        <w:rPr>
          <w:b/>
          <w:color w:val="000000"/>
        </w:rPr>
      </w:pPr>
    </w:p>
    <w:tbl>
      <w:tblPr>
        <w:tblStyle w:val="a0"/>
        <w:tblW w:w="93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536"/>
        <w:gridCol w:w="1800"/>
        <w:gridCol w:w="2475"/>
        <w:gridCol w:w="2565"/>
      </w:tblGrid>
      <w:tr w:rsidR="00C50CE0">
        <w:trPr>
          <w:trHeight w:val="280"/>
        </w:trPr>
        <w:tc>
          <w:tcPr>
            <w:tcW w:w="9376" w:type="dxa"/>
            <w:gridSpan w:val="4"/>
            <w:tcBorders>
              <w:top w:val="nil"/>
              <w:left w:val="nil"/>
              <w:bottom w:val="nil"/>
              <w:right w:val="nil"/>
            </w:tcBorders>
            <w:shd w:val="clear" w:color="auto" w:fill="333399"/>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Table 2. Current Municipal Commercial Energy Use</w:t>
            </w:r>
          </w:p>
        </w:tc>
      </w:tr>
      <w:tr w:rsidR="00C50CE0">
        <w:trPr>
          <w:trHeight w:val="2080"/>
        </w:trPr>
        <w:tc>
          <w:tcPr>
            <w:tcW w:w="2536" w:type="dxa"/>
            <w:tcBorders>
              <w:top w:val="nil"/>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C50CE0"/>
        </w:tc>
        <w:tc>
          <w:tcPr>
            <w:tcW w:w="180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Commercial Establishments</w:t>
            </w:r>
            <w:r>
              <w:rPr>
                <w:b/>
                <w:color w:val="FFFFFF"/>
              </w:rPr>
              <w:br/>
              <w:t>in Municipality (VT Dept. of Labor)</w:t>
            </w:r>
          </w:p>
        </w:tc>
        <w:tc>
          <w:tcPr>
            <w:tcW w:w="2475"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b/>
                <w:color w:val="FFFFFF"/>
              </w:rPr>
            </w:pPr>
            <w:r>
              <w:rPr>
                <w:b/>
                <w:color w:val="FFFFFF"/>
              </w:rPr>
              <w:t>Estimated Thermal Energy BTUs</w:t>
            </w:r>
          </w:p>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 xml:space="preserve">per Commercial Establishment </w:t>
            </w:r>
            <w:r>
              <w:rPr>
                <w:b/>
                <w:color w:val="FFFFFF"/>
              </w:rPr>
              <w:br/>
              <w:t>(in Billions) (VT Dept. of Public Service)</w:t>
            </w:r>
          </w:p>
        </w:tc>
        <w:tc>
          <w:tcPr>
            <w:tcW w:w="2565"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Estimated Thermal Energy BTUs</w:t>
            </w:r>
            <w:r>
              <w:rPr>
                <w:b/>
                <w:color w:val="FFFFFF"/>
              </w:rPr>
              <w:br/>
              <w:t>by Commercial Establishments in Municipality (in Billions)</w:t>
            </w:r>
          </w:p>
        </w:tc>
      </w:tr>
      <w:tr w:rsidR="00C50CE0">
        <w:trPr>
          <w:trHeight w:val="580"/>
        </w:trPr>
        <w:tc>
          <w:tcPr>
            <w:tcW w:w="2536" w:type="dxa"/>
            <w:tcBorders>
              <w:top w:val="single" w:sz="4" w:space="0" w:color="FFFFFF"/>
              <w:left w:val="nil"/>
              <w:bottom w:val="nil"/>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Municipal Commercial Energy Use</w:t>
            </w:r>
          </w:p>
        </w:tc>
        <w:tc>
          <w:tcPr>
            <w:tcW w:w="1800" w:type="dxa"/>
            <w:tcBorders>
              <w:top w:val="single" w:sz="4" w:space="0" w:color="FFFFFF"/>
              <w:left w:val="single" w:sz="4" w:space="0" w:color="FFFFFF"/>
              <w:bottom w:val="nil"/>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w:t>
            </w:r>
            <w:r>
              <w:t>0</w:t>
            </w:r>
            <w:r>
              <w:rPr>
                <w:color w:val="000000"/>
              </w:rPr>
              <w:t>9</w:t>
            </w:r>
          </w:p>
        </w:tc>
        <w:tc>
          <w:tcPr>
            <w:tcW w:w="2475" w:type="dxa"/>
            <w:tcBorders>
              <w:top w:val="single" w:sz="4" w:space="0" w:color="FFFFFF"/>
              <w:left w:val="single" w:sz="4" w:space="0" w:color="FFFFFF"/>
              <w:bottom w:val="nil"/>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0.725</w:t>
            </w:r>
          </w:p>
        </w:tc>
        <w:tc>
          <w:tcPr>
            <w:tcW w:w="2565" w:type="dxa"/>
            <w:tcBorders>
              <w:top w:val="single" w:sz="4" w:space="0" w:color="FFFFFF"/>
              <w:left w:val="single" w:sz="4" w:space="0" w:color="FFFFFF"/>
              <w:bottom w:val="nil"/>
              <w:right w:val="nil"/>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79.03</w:t>
            </w:r>
          </w:p>
        </w:tc>
      </w:tr>
    </w:tbl>
    <w:p w:rsidR="00C50CE0" w:rsidRDefault="00C50CE0">
      <w:pPr>
        <w:widowControl w:val="0"/>
        <w:pBdr>
          <w:top w:val="nil"/>
          <w:left w:val="nil"/>
          <w:bottom w:val="nil"/>
          <w:right w:val="nil"/>
          <w:between w:val="nil"/>
        </w:pBdr>
        <w:rPr>
          <w:b/>
          <w:color w:val="000000"/>
        </w:rPr>
      </w:pPr>
    </w:p>
    <w:p w:rsidR="00C50CE0" w:rsidRDefault="00C50CE0">
      <w:pPr>
        <w:pBdr>
          <w:top w:val="nil"/>
          <w:left w:val="nil"/>
          <w:bottom w:val="nil"/>
          <w:right w:val="nil"/>
          <w:between w:val="nil"/>
        </w:pBdr>
        <w:rPr>
          <w:b/>
          <w:color w:val="000000"/>
        </w:rPr>
      </w:pPr>
    </w:p>
    <w:p w:rsidR="00C50CE0" w:rsidRDefault="0032395E">
      <w:pPr>
        <w:pBdr>
          <w:top w:val="nil"/>
          <w:left w:val="nil"/>
          <w:bottom w:val="nil"/>
          <w:right w:val="nil"/>
          <w:between w:val="nil"/>
        </w:pBdr>
        <w:rPr>
          <w:color w:val="000000"/>
        </w:rPr>
      </w:pPr>
      <w:r>
        <w:rPr>
          <w:color w:val="000000"/>
        </w:rPr>
        <w:t xml:space="preserve">As the table immediately above shows. Bristol has a very limited number of commercial establishments. Further analysis of electrical use in the next Section and depicted in Table 3, below calculates that residential structures consume </w:t>
      </w:r>
      <w:r>
        <w:t>twice</w:t>
      </w:r>
      <w:r>
        <w:rPr>
          <w:color w:val="000000"/>
        </w:rPr>
        <w:t xml:space="preserve"> as much electrical energy as the commercial entities within town.  Accordingly, most of the thermal energy changes that will need to take place in Bristol to meet the targets will need to be done by individual homeowners.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Energy conservation is the most cost-effective way to reduce energy costs in Vermont. A wide variety of state and federal subsidies and rebates are currently available for Vermont residents to conserve energy. Efficiency Vermont, the nation</w:t>
      </w:r>
      <w:r>
        <w:rPr>
          <w:rFonts w:ascii="Calibri" w:eastAsia="Calibri" w:hAnsi="Calibri" w:cs="Calibri"/>
          <w:color w:val="000000"/>
        </w:rPr>
        <w:t>’</w:t>
      </w:r>
      <w:r>
        <w:rPr>
          <w:color w:val="000000"/>
        </w:rPr>
        <w:t xml:space="preserve">s only efficiency utility, has an informative home page at </w:t>
      </w:r>
      <w:hyperlink r:id="rId8">
        <w:r>
          <w:rPr>
            <w:color w:val="0000FF"/>
            <w:u w:val="single"/>
          </w:rPr>
          <w:t>www.Efficiencyvermont.com</w:t>
        </w:r>
      </w:hyperlink>
      <w:r>
        <w:rPr>
          <w:color w:val="3366FF"/>
        </w:rPr>
        <w:t xml:space="preserve">. </w:t>
      </w:r>
      <w:r>
        <w:rPr>
          <w:color w:val="000000"/>
        </w:rPr>
        <w:t>Visit it to learn about their current programs, including energy audits, incentives for Home Performance with Energy Star, information on appliances and compact fluorescent and LED bulbs, building an Energy Star home, home heating help, rebate information, and Efficiency Vermont</w:t>
      </w:r>
      <w:r>
        <w:rPr>
          <w:rFonts w:ascii="Calibri" w:eastAsia="Calibri" w:hAnsi="Calibri" w:cs="Calibri"/>
          <w:color w:val="000000"/>
        </w:rPr>
        <w:t>’</w:t>
      </w:r>
      <w:r>
        <w:rPr>
          <w:color w:val="000000"/>
        </w:rPr>
        <w:t xml:space="preserve">s reference library.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Vermont also has residential energy standards. Officially called the </w:t>
      </w:r>
      <w:r>
        <w:rPr>
          <w:rFonts w:ascii="Calibri" w:eastAsia="Calibri" w:hAnsi="Calibri" w:cs="Calibri"/>
          <w:color w:val="000000"/>
        </w:rPr>
        <w:t>“</w:t>
      </w:r>
      <w:r>
        <w:rPr>
          <w:color w:val="000000"/>
        </w:rPr>
        <w:t>Residential Building Energy Standards</w:t>
      </w:r>
      <w:r>
        <w:rPr>
          <w:rFonts w:ascii="Calibri" w:eastAsia="Calibri" w:hAnsi="Calibri" w:cs="Calibri"/>
          <w:color w:val="000000"/>
        </w:rPr>
        <w:t xml:space="preserve">” </w:t>
      </w:r>
      <w:r>
        <w:rPr>
          <w:color w:val="000000"/>
        </w:rPr>
        <w:t xml:space="preserve">(RBES), the Residential Energy Code is a minimum standard of energy efficiency for all new residential construction in Vermont. The Vermont Residential Energy Code Handbook edition 4.1 March 1, 2015.  REBS encompasses two requirements: </w:t>
      </w:r>
    </w:p>
    <w:p w:rsidR="00C50CE0" w:rsidRDefault="0032395E" w:rsidP="00D72EE9">
      <w:pPr>
        <w:numPr>
          <w:ilvl w:val="0"/>
          <w:numId w:val="19"/>
        </w:numPr>
        <w:pBdr>
          <w:top w:val="nil"/>
          <w:left w:val="nil"/>
          <w:bottom w:val="nil"/>
          <w:right w:val="nil"/>
          <w:between w:val="nil"/>
        </w:pBdr>
        <w:ind w:left="330" w:hanging="330"/>
        <w:rPr>
          <w:color w:val="000000"/>
        </w:rPr>
      </w:pPr>
      <w:r>
        <w:t>A</w:t>
      </w:r>
      <w:r>
        <w:rPr>
          <w:color w:val="000000"/>
        </w:rPr>
        <w:t xml:space="preserve"> technical requirement that includes minimum standards for energy-efficient building components and construction practices, </w:t>
      </w:r>
      <w:r>
        <w:t>a</w:t>
      </w:r>
      <w:r>
        <w:rPr>
          <w:color w:val="000000"/>
        </w:rPr>
        <w:t>nd,</w:t>
      </w:r>
    </w:p>
    <w:p w:rsidR="00C50CE0" w:rsidRDefault="0032395E" w:rsidP="00D72EE9">
      <w:pPr>
        <w:numPr>
          <w:ilvl w:val="0"/>
          <w:numId w:val="19"/>
        </w:numPr>
        <w:pBdr>
          <w:top w:val="nil"/>
          <w:left w:val="nil"/>
          <w:bottom w:val="nil"/>
          <w:right w:val="nil"/>
          <w:between w:val="nil"/>
        </w:pBdr>
        <w:ind w:left="330" w:hanging="330"/>
        <w:rPr>
          <w:color w:val="000000"/>
        </w:rPr>
      </w:pPr>
      <w:r>
        <w:t>A</w:t>
      </w:r>
      <w:r>
        <w:rPr>
          <w:color w:val="000000"/>
        </w:rPr>
        <w:t xml:space="preserve"> certification requirement for reporting compliance. Upon completion state law requires every Vermont builder to self-certify that the home complies with the Code as built. The builder must complete and sign a certificate and submit it to the Town Clerk for filing. This should be on record before the Zoning Administrator issues a Certificate of Occupancy.</w:t>
      </w:r>
    </w:p>
    <w:p w:rsidR="00C50CE0" w:rsidRDefault="00C50CE0">
      <w:pPr>
        <w:pStyle w:val="Heading2"/>
        <w:pBdr>
          <w:bottom w:val="single" w:sz="8" w:space="14" w:color="4F81BD"/>
        </w:pBdr>
        <w:rPr>
          <w:rFonts w:ascii="Times New Roman" w:eastAsia="Times New Roman" w:hAnsi="Times New Roman" w:cs="Times New Roman"/>
          <w:sz w:val="24"/>
          <w:szCs w:val="24"/>
        </w:rPr>
      </w:pPr>
    </w:p>
    <w:p w:rsidR="00C50CE0" w:rsidRDefault="0032395E">
      <w:pPr>
        <w:pStyle w:val="Heading2"/>
        <w:pBdr>
          <w:bottom w:val="single" w:sz="8" w:space="14" w:color="4F81BD"/>
        </w:pBdr>
        <w:rPr>
          <w:rFonts w:ascii="Times New Roman" w:eastAsia="Times New Roman" w:hAnsi="Times New Roman" w:cs="Times New Roman"/>
          <w:sz w:val="24"/>
          <w:szCs w:val="24"/>
        </w:rPr>
      </w:pPr>
      <w:r>
        <w:br w:type="page"/>
      </w:r>
    </w:p>
    <w:p w:rsidR="00C50CE0" w:rsidRDefault="0032395E">
      <w:pPr>
        <w:pStyle w:val="Heading2"/>
        <w:pBdr>
          <w:bottom w:val="single" w:sz="8" w:space="14" w:color="4F81BD"/>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Thermal Targets</w:t>
      </w:r>
    </w:p>
    <w:p w:rsidR="00C50CE0" w:rsidRDefault="0032395E">
      <w:pPr>
        <w:widowControl w:val="0"/>
        <w:pBdr>
          <w:top w:val="nil"/>
          <w:left w:val="nil"/>
          <w:bottom w:val="nil"/>
          <w:right w:val="nil"/>
          <w:between w:val="nil"/>
        </w:pBdr>
        <w:rPr>
          <w:color w:val="000000"/>
        </w:rPr>
      </w:pPr>
      <w:r>
        <w:rPr>
          <w:color w:val="000000"/>
        </w:rPr>
        <w:t>Thermal targets for Bristol include increasing weatherization of homes, increase in new efficient wood heat systems and switching to efficient heat pump systems.  See tables below for examples of targeted changes necessary to meet the 90 X 50 State goal.</w:t>
      </w:r>
    </w:p>
    <w:tbl>
      <w:tblPr>
        <w:tblStyle w:val="a1"/>
        <w:tblW w:w="892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5295"/>
        <w:gridCol w:w="1200"/>
        <w:gridCol w:w="1350"/>
        <w:gridCol w:w="1080"/>
      </w:tblGrid>
      <w:tr w:rsidR="00C50CE0">
        <w:trPr>
          <w:trHeight w:val="600"/>
        </w:trPr>
        <w:tc>
          <w:tcPr>
            <w:tcW w:w="5295" w:type="dxa"/>
            <w:tcBorders>
              <w:top w:val="single" w:sz="8" w:space="0" w:color="000000"/>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Table 3A. Residential Thermal Efficiency Targets</w:t>
            </w:r>
          </w:p>
        </w:tc>
        <w:tc>
          <w:tcPr>
            <w:tcW w:w="1200" w:type="dxa"/>
            <w:tcBorders>
              <w:top w:val="single" w:sz="8" w:space="0" w:color="000000"/>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2025</w:t>
            </w:r>
          </w:p>
        </w:tc>
        <w:tc>
          <w:tcPr>
            <w:tcW w:w="1350" w:type="dxa"/>
            <w:tcBorders>
              <w:top w:val="single" w:sz="8" w:space="0" w:color="000000"/>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2035</w:t>
            </w:r>
          </w:p>
        </w:tc>
        <w:tc>
          <w:tcPr>
            <w:tcW w:w="1080" w:type="dxa"/>
            <w:tcBorders>
              <w:top w:val="single" w:sz="8" w:space="0" w:color="000000"/>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2050</w:t>
            </w:r>
          </w:p>
        </w:tc>
      </w:tr>
      <w:tr w:rsidR="00C50CE0">
        <w:trPr>
          <w:trHeight w:val="880"/>
        </w:trPr>
        <w:tc>
          <w:tcPr>
            <w:tcW w:w="5295"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Residential - Increased Efficiency and Conservation</w:t>
            </w:r>
            <w:r>
              <w:rPr>
                <w:color w:val="000000"/>
              </w:rPr>
              <w:br/>
              <w:t xml:space="preserve"> (% of municipal households to be weatherized)</w:t>
            </w:r>
          </w:p>
        </w:tc>
        <w:tc>
          <w:tcPr>
            <w:tcW w:w="120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2%</w:t>
            </w:r>
          </w:p>
        </w:tc>
        <w:tc>
          <w:tcPr>
            <w:tcW w:w="135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9%</w:t>
            </w:r>
          </w:p>
        </w:tc>
        <w:tc>
          <w:tcPr>
            <w:tcW w:w="1080"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47%</w:t>
            </w:r>
          </w:p>
        </w:tc>
      </w:tr>
      <w:tr w:rsidR="00C50CE0">
        <w:trPr>
          <w:trHeight w:val="300"/>
        </w:trPr>
        <w:tc>
          <w:tcPr>
            <w:tcW w:w="5295"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c>
          <w:tcPr>
            <w:tcW w:w="1200"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c>
          <w:tcPr>
            <w:tcW w:w="1350"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c>
          <w:tcPr>
            <w:tcW w:w="1080"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r>
      <w:tr w:rsidR="00C50CE0">
        <w:trPr>
          <w:trHeight w:val="580"/>
        </w:trPr>
        <w:tc>
          <w:tcPr>
            <w:tcW w:w="5295" w:type="dxa"/>
            <w:tcBorders>
              <w:top w:val="nil"/>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Table 3B. Commercial Thermal Efficiency Targets</w:t>
            </w:r>
          </w:p>
        </w:tc>
        <w:tc>
          <w:tcPr>
            <w:tcW w:w="120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2025</w:t>
            </w:r>
          </w:p>
        </w:tc>
        <w:tc>
          <w:tcPr>
            <w:tcW w:w="135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2035</w:t>
            </w:r>
          </w:p>
        </w:tc>
        <w:tc>
          <w:tcPr>
            <w:tcW w:w="1080"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2050</w:t>
            </w:r>
          </w:p>
        </w:tc>
      </w:tr>
      <w:tr w:rsidR="00C50CE0">
        <w:trPr>
          <w:trHeight w:val="1180"/>
        </w:trPr>
        <w:tc>
          <w:tcPr>
            <w:tcW w:w="5295"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Commercial - Increased Efficiency and Conservation</w:t>
            </w:r>
            <w:r>
              <w:rPr>
                <w:color w:val="000000"/>
              </w:rPr>
              <w:br/>
              <w:t xml:space="preserve"> (% of commercial establishments to be weatherized)</w:t>
            </w:r>
          </w:p>
        </w:tc>
        <w:tc>
          <w:tcPr>
            <w:tcW w:w="120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17%</w:t>
            </w:r>
          </w:p>
        </w:tc>
        <w:tc>
          <w:tcPr>
            <w:tcW w:w="135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18%</w:t>
            </w:r>
          </w:p>
        </w:tc>
        <w:tc>
          <w:tcPr>
            <w:tcW w:w="1080"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47%</w:t>
            </w:r>
          </w:p>
        </w:tc>
      </w:tr>
      <w:tr w:rsidR="00C50CE0">
        <w:trPr>
          <w:trHeight w:val="300"/>
        </w:trPr>
        <w:tc>
          <w:tcPr>
            <w:tcW w:w="5295"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c>
          <w:tcPr>
            <w:tcW w:w="1200"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c>
          <w:tcPr>
            <w:tcW w:w="1350"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c>
          <w:tcPr>
            <w:tcW w:w="1080"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r>
      <w:tr w:rsidR="00C50CE0">
        <w:trPr>
          <w:trHeight w:val="580"/>
        </w:trPr>
        <w:tc>
          <w:tcPr>
            <w:tcW w:w="5295" w:type="dxa"/>
            <w:tcBorders>
              <w:top w:val="nil"/>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Table 3C. Thermal Fuel Switching Targets (Residential and Commercial) - Wood Systems</w:t>
            </w:r>
          </w:p>
        </w:tc>
        <w:tc>
          <w:tcPr>
            <w:tcW w:w="120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2025</w:t>
            </w:r>
          </w:p>
        </w:tc>
        <w:tc>
          <w:tcPr>
            <w:tcW w:w="135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2035</w:t>
            </w:r>
          </w:p>
        </w:tc>
        <w:tc>
          <w:tcPr>
            <w:tcW w:w="1080"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2050</w:t>
            </w:r>
          </w:p>
        </w:tc>
      </w:tr>
      <w:tr w:rsidR="00C50CE0">
        <w:trPr>
          <w:trHeight w:val="280"/>
        </w:trPr>
        <w:tc>
          <w:tcPr>
            <w:tcW w:w="5295"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New Efficient Wood Heat Systems (in units)</w:t>
            </w:r>
          </w:p>
        </w:tc>
        <w:tc>
          <w:tcPr>
            <w:tcW w:w="120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6</w:t>
            </w:r>
          </w:p>
        </w:tc>
        <w:tc>
          <w:tcPr>
            <w:tcW w:w="135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11</w:t>
            </w:r>
          </w:p>
        </w:tc>
        <w:tc>
          <w:tcPr>
            <w:tcW w:w="1080"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69</w:t>
            </w:r>
          </w:p>
        </w:tc>
      </w:tr>
      <w:tr w:rsidR="00C50CE0">
        <w:trPr>
          <w:trHeight w:val="300"/>
        </w:trPr>
        <w:tc>
          <w:tcPr>
            <w:tcW w:w="5295"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c>
          <w:tcPr>
            <w:tcW w:w="1200"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c>
          <w:tcPr>
            <w:tcW w:w="1350"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c>
          <w:tcPr>
            <w:tcW w:w="1080" w:type="dxa"/>
            <w:tcBorders>
              <w:top w:val="nil"/>
              <w:left w:val="nil"/>
              <w:bottom w:val="nil"/>
              <w:right w:val="nil"/>
            </w:tcBorders>
            <w:shd w:val="clear" w:color="auto" w:fill="auto"/>
            <w:tcMar>
              <w:top w:w="80" w:type="dxa"/>
              <w:left w:w="80" w:type="dxa"/>
              <w:bottom w:w="80" w:type="dxa"/>
              <w:right w:w="80" w:type="dxa"/>
            </w:tcMar>
            <w:vAlign w:val="bottom"/>
          </w:tcPr>
          <w:p w:rsidR="00C50CE0" w:rsidRDefault="00C50CE0"/>
        </w:tc>
      </w:tr>
      <w:tr w:rsidR="00C50CE0">
        <w:trPr>
          <w:trHeight w:val="580"/>
        </w:trPr>
        <w:tc>
          <w:tcPr>
            <w:tcW w:w="5295" w:type="dxa"/>
            <w:tcBorders>
              <w:top w:val="nil"/>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Table 3D Thermal Fuel Switching Targets (Residential and Commercial) - Heat Pumps</w:t>
            </w:r>
          </w:p>
        </w:tc>
        <w:tc>
          <w:tcPr>
            <w:tcW w:w="120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2025</w:t>
            </w:r>
          </w:p>
        </w:tc>
        <w:tc>
          <w:tcPr>
            <w:tcW w:w="135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2035</w:t>
            </w:r>
          </w:p>
        </w:tc>
        <w:tc>
          <w:tcPr>
            <w:tcW w:w="1080"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2050</w:t>
            </w:r>
          </w:p>
        </w:tc>
      </w:tr>
      <w:tr w:rsidR="00C50CE0">
        <w:trPr>
          <w:trHeight w:val="280"/>
        </w:trPr>
        <w:tc>
          <w:tcPr>
            <w:tcW w:w="5295"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New Heat Pumps (in units)</w:t>
            </w:r>
          </w:p>
        </w:tc>
        <w:tc>
          <w:tcPr>
            <w:tcW w:w="120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160</w:t>
            </w:r>
          </w:p>
        </w:tc>
        <w:tc>
          <w:tcPr>
            <w:tcW w:w="135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386</w:t>
            </w:r>
          </w:p>
        </w:tc>
        <w:tc>
          <w:tcPr>
            <w:tcW w:w="1080"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761</w:t>
            </w:r>
          </w:p>
        </w:tc>
      </w:tr>
    </w:tbl>
    <w:p w:rsidR="00C50CE0" w:rsidRDefault="00C50CE0">
      <w:pPr>
        <w:widowControl w:val="0"/>
        <w:pBdr>
          <w:top w:val="nil"/>
          <w:left w:val="nil"/>
          <w:bottom w:val="nil"/>
          <w:right w:val="nil"/>
          <w:between w:val="nil"/>
        </w:pBdr>
        <w:rPr>
          <w:color w:val="000000"/>
        </w:rPr>
      </w:pPr>
    </w:p>
    <w:p w:rsidR="00C50CE0" w:rsidRDefault="00C50CE0">
      <w:pPr>
        <w:pBdr>
          <w:top w:val="nil"/>
          <w:left w:val="nil"/>
          <w:bottom w:val="nil"/>
          <w:right w:val="nil"/>
          <w:between w:val="nil"/>
        </w:pBdr>
        <w:rPr>
          <w:color w:val="FF0000"/>
        </w:rPr>
      </w:pPr>
    </w:p>
    <w:p w:rsidR="00C50CE0" w:rsidRDefault="0032395E">
      <w:pPr>
        <w:pBdr>
          <w:top w:val="nil"/>
          <w:left w:val="nil"/>
          <w:bottom w:val="nil"/>
          <w:right w:val="nil"/>
          <w:between w:val="nil"/>
        </w:pBdr>
        <w:rPr>
          <w:color w:val="000000"/>
        </w:rPr>
      </w:pPr>
      <w:r>
        <w:rPr>
          <w:color w:val="000000"/>
        </w:rPr>
        <w:t>To hit the goal of 90% renewable energy use in Bristol, targets have been established for each of the three major strategies to reduce or change they type of fuel used for space-heating.  In order to hit the targets, by 2050 property owners in Bristol will need to have made significant improvements to their homes and businesses.  A</w:t>
      </w:r>
      <w:r>
        <w:t>lmost half</w:t>
      </w:r>
      <w:r>
        <w:rPr>
          <w:color w:val="000000"/>
        </w:rPr>
        <w:t xml:space="preserve"> of the houses and businesses in Bristol will need to have been weatherized to conserve energy by using it more efficiently to heat those spaces. Additionally, a</w:t>
      </w:r>
      <w:r>
        <w:t>t least a quarter</w:t>
      </w:r>
      <w:r>
        <w:rPr>
          <w:color w:val="000000"/>
        </w:rPr>
        <w:t xml:space="preserve"> of homes currently using wood as a heating source will need to invest in new technology to burn wood more efficiently.  Lastly, nearly all of the houses currently heating with oil or propane will need to have switched fuel sources to cleanly generated electrical heat by installing efficient electric heat pumps. </w:t>
      </w:r>
    </w:p>
    <w:p w:rsidR="00C50CE0" w:rsidRDefault="0032395E">
      <w:pPr>
        <w:pBdr>
          <w:top w:val="nil"/>
          <w:left w:val="nil"/>
          <w:bottom w:val="nil"/>
          <w:right w:val="nil"/>
          <w:between w:val="nil"/>
        </w:pBdr>
        <w:rPr>
          <w:rFonts w:ascii="Calibri" w:eastAsia="Calibri" w:hAnsi="Calibri" w:cs="Calibri"/>
          <w:color w:val="000000"/>
          <w:sz w:val="22"/>
          <w:szCs w:val="22"/>
        </w:rPr>
      </w:pPr>
      <w:r>
        <w:br w:type="page"/>
      </w:r>
    </w:p>
    <w:p w:rsidR="00C50CE0" w:rsidRDefault="0032395E">
      <w:pPr>
        <w:pStyle w:val="Heading2"/>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lastRenderedPageBreak/>
        <w:t>Thermal Pathways to Implementation - Goals, Policies and Recommended Actions</w:t>
      </w:r>
    </w:p>
    <w:p w:rsidR="00C50CE0" w:rsidRDefault="0032395E">
      <w:pPr>
        <w:pBdr>
          <w:top w:val="nil"/>
          <w:left w:val="nil"/>
          <w:bottom w:val="nil"/>
          <w:right w:val="nil"/>
          <w:between w:val="nil"/>
        </w:pBdr>
        <w:rPr>
          <w:color w:val="000000"/>
        </w:rPr>
      </w:pPr>
      <w:r>
        <w:rPr>
          <w:color w:val="000000"/>
        </w:rPr>
        <w:t xml:space="preserve">Given the significant changes, noted above, that Bristol will need to adopt to conserve energy and switch fuels in order to meet statewide targets, Bristol promotes the following Goals, Policies and Recommended Actions for itself and its citizens: </w:t>
      </w:r>
    </w:p>
    <w:p w:rsidR="00C50CE0" w:rsidRDefault="0032395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Goals</w:t>
      </w:r>
    </w:p>
    <w:p w:rsidR="00C50CE0" w:rsidRDefault="0032395E">
      <w:pPr>
        <w:pBdr>
          <w:top w:val="nil"/>
          <w:left w:val="nil"/>
          <w:bottom w:val="nil"/>
          <w:right w:val="nil"/>
          <w:between w:val="nil"/>
        </w:pBdr>
        <w:spacing w:after="160" w:line="259" w:lineRule="auto"/>
        <w:ind w:left="360" w:right="-270"/>
        <w:rPr>
          <w:b/>
          <w:color w:val="000000"/>
        </w:rPr>
      </w:pPr>
      <w:r>
        <w:rPr>
          <w:b/>
        </w:rPr>
        <w:t>Reduce energy needs and long</w:t>
      </w:r>
      <w:r w:rsidR="007805D9">
        <w:rPr>
          <w:b/>
        </w:rPr>
        <w:t>-</w:t>
      </w:r>
      <w:r>
        <w:rPr>
          <w:b/>
        </w:rPr>
        <w:t>term costs for heating structures, transition from non-renewable energy sources to renewable energy sources, and maximize weatherization of residential households, commercial establishments and municipal facilities.</w:t>
      </w:r>
    </w:p>
    <w:p w:rsidR="00C50CE0" w:rsidRDefault="0032395E" w:rsidP="0032395E">
      <w:pPr>
        <w:pStyle w:val="Heading2"/>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Policies</w:t>
      </w:r>
    </w:p>
    <w:p w:rsidR="00C50CE0" w:rsidRDefault="0032395E" w:rsidP="0032395E">
      <w:pPr>
        <w:pBdr>
          <w:top w:val="nil"/>
          <w:left w:val="nil"/>
          <w:bottom w:val="nil"/>
          <w:right w:val="nil"/>
          <w:between w:val="nil"/>
        </w:pBdr>
        <w:spacing w:line="259" w:lineRule="auto"/>
        <w:ind w:left="360" w:hanging="270"/>
        <w:rPr>
          <w:color w:val="000000"/>
        </w:rPr>
      </w:pPr>
      <w:r>
        <w:rPr>
          <w:color w:val="000000"/>
        </w:rPr>
        <w:t>1. Support energy conservation efforts and the efficient use of energy.</w:t>
      </w:r>
    </w:p>
    <w:p w:rsidR="00C50CE0" w:rsidRDefault="0032395E" w:rsidP="0032395E">
      <w:pPr>
        <w:pBdr>
          <w:top w:val="nil"/>
          <w:left w:val="nil"/>
          <w:bottom w:val="nil"/>
          <w:right w:val="nil"/>
          <w:between w:val="nil"/>
        </w:pBdr>
        <w:tabs>
          <w:tab w:val="left" w:pos="360"/>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right="900" w:hanging="270"/>
        <w:rPr>
          <w:color w:val="000000"/>
        </w:rPr>
      </w:pPr>
      <w:r>
        <w:rPr>
          <w:color w:val="000000"/>
        </w:rPr>
        <w:t>2. Promote energy efficiency and increased use of renewable energy in all buildings.</w:t>
      </w:r>
    </w:p>
    <w:p w:rsidR="00C50CE0" w:rsidRDefault="0032395E" w:rsidP="0032395E">
      <w:pPr>
        <w:pBdr>
          <w:top w:val="nil"/>
          <w:left w:val="nil"/>
          <w:bottom w:val="nil"/>
          <w:right w:val="nil"/>
          <w:between w:val="nil"/>
        </w:pBdr>
        <w:spacing w:line="259" w:lineRule="auto"/>
        <w:ind w:left="360" w:hanging="270"/>
        <w:rPr>
          <w:color w:val="000000"/>
        </w:rPr>
      </w:pPr>
      <w:r>
        <w:rPr>
          <w:color w:val="000000"/>
        </w:rPr>
        <w:t>3. Support the conversion of non-renewable to methods such as efficient wood heating or electric heat pump systems.</w:t>
      </w:r>
    </w:p>
    <w:p w:rsidR="00C50CE0" w:rsidRDefault="0032395E" w:rsidP="0032395E">
      <w:pPr>
        <w:pBdr>
          <w:top w:val="nil"/>
          <w:left w:val="nil"/>
          <w:bottom w:val="nil"/>
          <w:right w:val="nil"/>
          <w:between w:val="nil"/>
        </w:pBdr>
        <w:spacing w:line="259" w:lineRule="auto"/>
        <w:ind w:left="360" w:hanging="270"/>
        <w:rPr>
          <w:color w:val="000000"/>
        </w:rPr>
      </w:pPr>
      <w:r>
        <w:rPr>
          <w:color w:val="000000"/>
        </w:rPr>
        <w:t>4. Conserve forest land as a renewable energy resource, tempered by the responsible use of wood for biomass energy production.</w:t>
      </w:r>
    </w:p>
    <w:p w:rsidR="00C50CE0" w:rsidRDefault="0032395E">
      <w:pPr>
        <w:pStyle w:val="Heading2"/>
        <w:ind w:left="360" w:hanging="36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Recommended Actions</w:t>
      </w:r>
    </w:p>
    <w:p w:rsidR="00C50CE0" w:rsidRDefault="00C50CE0">
      <w:pPr>
        <w:pBdr>
          <w:top w:val="nil"/>
          <w:left w:val="nil"/>
          <w:bottom w:val="nil"/>
          <w:right w:val="nil"/>
          <w:between w:val="nil"/>
        </w:pBdr>
        <w:ind w:left="360" w:hanging="360"/>
        <w:rPr>
          <w:b/>
          <w:color w:val="4F81BD"/>
        </w:rPr>
      </w:pPr>
    </w:p>
    <w:p w:rsidR="00C50CE0" w:rsidRDefault="0032395E" w:rsidP="0032395E">
      <w:pPr>
        <w:pBdr>
          <w:top w:val="nil"/>
          <w:left w:val="nil"/>
          <w:bottom w:val="nil"/>
          <w:right w:val="nil"/>
          <w:between w:val="nil"/>
        </w:pBdr>
        <w:spacing w:line="259" w:lineRule="auto"/>
        <w:ind w:left="360" w:hanging="360"/>
        <w:rPr>
          <w:color w:val="000000"/>
        </w:rPr>
      </w:pPr>
      <w:r>
        <w:rPr>
          <w:color w:val="000000"/>
        </w:rPr>
        <w:t>1. Coordinate with ACRPC, Efficiency Vermont and any other weatherization service provider to encourage Bristol residents to participate in weatherization programs.</w:t>
      </w:r>
    </w:p>
    <w:p w:rsidR="00C50CE0" w:rsidRDefault="0032395E" w:rsidP="0032395E">
      <w:pPr>
        <w:pBdr>
          <w:top w:val="nil"/>
          <w:left w:val="nil"/>
          <w:bottom w:val="nil"/>
          <w:right w:val="nil"/>
          <w:between w:val="nil"/>
        </w:pBdr>
        <w:spacing w:line="259" w:lineRule="auto"/>
        <w:ind w:left="360" w:hanging="360"/>
        <w:rPr>
          <w:color w:val="000000"/>
        </w:rPr>
      </w:pPr>
      <w:r>
        <w:rPr>
          <w:color w:val="000000"/>
        </w:rPr>
        <w:t>2. Promote the use of the residential and commercial building energy standards by asking the Zoning Administrator to distribute information about Vermont</w:t>
      </w:r>
      <w:r>
        <w:rPr>
          <w:rFonts w:ascii="Calibri" w:eastAsia="Calibri" w:hAnsi="Calibri" w:cs="Calibri"/>
          <w:color w:val="000000"/>
        </w:rPr>
        <w:t>’</w:t>
      </w:r>
      <w:r>
        <w:rPr>
          <w:color w:val="000000"/>
        </w:rPr>
        <w:t xml:space="preserve">s Energy Codes to permit applicants and explaining options for energy efficiency. </w:t>
      </w:r>
    </w:p>
    <w:p w:rsidR="00C50CE0" w:rsidRDefault="0032395E" w:rsidP="0032395E">
      <w:pPr>
        <w:pBdr>
          <w:top w:val="nil"/>
          <w:left w:val="nil"/>
          <w:bottom w:val="nil"/>
          <w:right w:val="nil"/>
          <w:between w:val="nil"/>
        </w:pBdr>
        <w:spacing w:line="259" w:lineRule="auto"/>
        <w:ind w:left="360" w:hanging="360"/>
        <w:rPr>
          <w:color w:val="000000"/>
        </w:rPr>
      </w:pPr>
      <w:r>
        <w:rPr>
          <w:color w:val="000000"/>
        </w:rPr>
        <w:t xml:space="preserve">3. Conduct an energy audit of municipal buildings to identify weatherization retrofits and incorporate the recommendations into the municipal capital budget. </w:t>
      </w:r>
    </w:p>
    <w:p w:rsidR="00C50CE0" w:rsidRDefault="0032395E" w:rsidP="0032395E">
      <w:pPr>
        <w:pBdr>
          <w:top w:val="nil"/>
          <w:left w:val="nil"/>
          <w:bottom w:val="nil"/>
          <w:right w:val="nil"/>
          <w:between w:val="nil"/>
        </w:pBdr>
        <w:spacing w:line="259" w:lineRule="auto"/>
        <w:ind w:left="360" w:hanging="360"/>
        <w:rPr>
          <w:color w:val="000000"/>
        </w:rPr>
      </w:pPr>
      <w:r>
        <w:rPr>
          <w:color w:val="000000"/>
        </w:rPr>
        <w:t>4. Explore opportunities and pursue funding to upgrade efficiencies in all residential, commercial and municipal buildings.</w:t>
      </w:r>
    </w:p>
    <w:p w:rsidR="00C50CE0" w:rsidRDefault="0032395E" w:rsidP="0032395E">
      <w:pPr>
        <w:pBdr>
          <w:top w:val="nil"/>
          <w:left w:val="nil"/>
          <w:bottom w:val="nil"/>
          <w:right w:val="nil"/>
          <w:between w:val="nil"/>
        </w:pBdr>
        <w:spacing w:line="259" w:lineRule="auto"/>
        <w:ind w:left="360" w:hanging="360"/>
        <w:rPr>
          <w:color w:val="000000"/>
        </w:rPr>
      </w:pPr>
      <w:r>
        <w:t>5. Pursue funding to support</w:t>
      </w:r>
      <w:r>
        <w:rPr>
          <w:color w:val="000000"/>
        </w:rPr>
        <w:t xml:space="preserve"> the conversion of residential and commercial buildings to efficient, and renewable heat sources. </w:t>
      </w:r>
    </w:p>
    <w:p w:rsidR="00C50CE0" w:rsidRDefault="00C50CE0">
      <w:pPr>
        <w:pBdr>
          <w:top w:val="nil"/>
          <w:left w:val="nil"/>
          <w:bottom w:val="nil"/>
          <w:right w:val="nil"/>
          <w:between w:val="nil"/>
        </w:pBdr>
        <w:rPr>
          <w:b/>
          <w:color w:val="000000"/>
        </w:rPr>
      </w:pPr>
    </w:p>
    <w:p w:rsidR="00C50CE0" w:rsidRDefault="0032395E">
      <w:pPr>
        <w:pBdr>
          <w:top w:val="nil"/>
          <w:left w:val="nil"/>
          <w:bottom w:val="nil"/>
          <w:right w:val="nil"/>
          <w:between w:val="nil"/>
        </w:pBdr>
        <w:rPr>
          <w:rFonts w:ascii="Calibri" w:eastAsia="Calibri" w:hAnsi="Calibri" w:cs="Calibri"/>
          <w:color w:val="000000"/>
          <w:sz w:val="22"/>
          <w:szCs w:val="22"/>
        </w:rPr>
      </w:pPr>
      <w:r>
        <w:br w:type="page"/>
      </w:r>
    </w:p>
    <w:p w:rsidR="00C50CE0" w:rsidRDefault="0032395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Electrical Use Analysis</w:t>
      </w:r>
    </w:p>
    <w:p w:rsidR="00C50CE0" w:rsidRDefault="0032395E">
      <w:pPr>
        <w:widowControl w:val="0"/>
        <w:pBdr>
          <w:top w:val="nil"/>
          <w:left w:val="nil"/>
          <w:bottom w:val="nil"/>
          <w:right w:val="nil"/>
          <w:between w:val="nil"/>
        </w:pBdr>
        <w:rPr>
          <w:color w:val="000000"/>
        </w:rPr>
      </w:pPr>
      <w:r>
        <w:t>Electricity in the town of Bristol is provided by Green Mountain Power Corporation. E</w:t>
      </w:r>
      <w:r>
        <w:rPr>
          <w:color w:val="000000"/>
        </w:rPr>
        <w:t xml:space="preserve">lectricity use reported </w:t>
      </w:r>
      <w:r>
        <w:t>by the utility</w:t>
      </w:r>
      <w:r>
        <w:rPr>
          <w:color w:val="000000"/>
        </w:rPr>
        <w:t xml:space="preserve"> </w:t>
      </w:r>
      <w:r>
        <w:t>for</w:t>
      </w:r>
      <w:r>
        <w:rPr>
          <w:color w:val="000000"/>
        </w:rPr>
        <w:t xml:space="preserve"> Bristol is shown in Table 4 and the accompanying f</w:t>
      </w:r>
      <w:r>
        <w:t>igure</w:t>
      </w:r>
      <w:r>
        <w:rPr>
          <w:color w:val="000000"/>
        </w:rPr>
        <w:t xml:space="preserve">. </w:t>
      </w:r>
    </w:p>
    <w:p w:rsidR="00C50CE0" w:rsidRDefault="00C50CE0">
      <w:pPr>
        <w:widowControl w:val="0"/>
        <w:pBdr>
          <w:top w:val="nil"/>
          <w:left w:val="nil"/>
          <w:bottom w:val="nil"/>
          <w:right w:val="nil"/>
          <w:between w:val="nil"/>
        </w:pBdr>
      </w:pPr>
    </w:p>
    <w:tbl>
      <w:tblPr>
        <w:tblStyle w:val="a2"/>
        <w:tblW w:w="93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292"/>
        <w:gridCol w:w="1408"/>
        <w:gridCol w:w="1408"/>
        <w:gridCol w:w="1408"/>
        <w:gridCol w:w="1408"/>
        <w:gridCol w:w="1408"/>
      </w:tblGrid>
      <w:tr w:rsidR="00C50CE0">
        <w:trPr>
          <w:trHeight w:val="420"/>
        </w:trPr>
        <w:tc>
          <w:tcPr>
            <w:tcW w:w="9327" w:type="dxa"/>
            <w:gridSpan w:val="6"/>
            <w:tcBorders>
              <w:top w:val="nil"/>
              <w:left w:val="nil"/>
              <w:bottom w:val="nil"/>
              <w:right w:val="nil"/>
            </w:tcBorders>
            <w:shd w:val="clear" w:color="auto" w:fill="333399"/>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Table 4. Electricity Use</w:t>
            </w:r>
          </w:p>
        </w:tc>
      </w:tr>
      <w:tr w:rsidR="00C50CE0">
        <w:trPr>
          <w:trHeight w:val="580"/>
        </w:trPr>
        <w:tc>
          <w:tcPr>
            <w:tcW w:w="2292" w:type="dxa"/>
            <w:tcBorders>
              <w:top w:val="nil"/>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Use Sector</w:t>
            </w:r>
          </w:p>
        </w:tc>
        <w:tc>
          <w:tcPr>
            <w:tcW w:w="1407"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b/>
                <w:color w:val="FFFFFF"/>
              </w:rPr>
            </w:pPr>
            <w:r>
              <w:rPr>
                <w:b/>
                <w:color w:val="FFFFFF"/>
              </w:rPr>
              <w:t>2014</w:t>
            </w:r>
          </w:p>
        </w:tc>
        <w:tc>
          <w:tcPr>
            <w:tcW w:w="1407"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b/>
                <w:color w:val="FFFFFF"/>
              </w:rPr>
            </w:pPr>
            <w:r>
              <w:rPr>
                <w:b/>
                <w:color w:val="FFFFFF"/>
              </w:rPr>
              <w:t>2015</w:t>
            </w:r>
          </w:p>
        </w:tc>
        <w:tc>
          <w:tcPr>
            <w:tcW w:w="1407"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b/>
                <w:color w:val="FFFFFF"/>
              </w:rPr>
            </w:pPr>
            <w:r>
              <w:rPr>
                <w:b/>
                <w:color w:val="FFFFFF"/>
              </w:rPr>
              <w:t>2016</w:t>
            </w:r>
          </w:p>
        </w:tc>
        <w:tc>
          <w:tcPr>
            <w:tcW w:w="1407"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b/>
                <w:color w:val="FFFFFF"/>
              </w:rPr>
            </w:pPr>
            <w:r>
              <w:rPr>
                <w:b/>
                <w:color w:val="FFFFFF"/>
              </w:rPr>
              <w:t>2017</w:t>
            </w:r>
          </w:p>
        </w:tc>
        <w:tc>
          <w:tcPr>
            <w:tcW w:w="1407"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2018</w:t>
            </w:r>
          </w:p>
        </w:tc>
      </w:tr>
      <w:tr w:rsidR="00C50CE0">
        <w:trPr>
          <w:trHeight w:val="300"/>
        </w:trPr>
        <w:tc>
          <w:tcPr>
            <w:tcW w:w="2292" w:type="dxa"/>
            <w:tcBorders>
              <w:top w:val="single" w:sz="4" w:space="0" w:color="FFFFFF"/>
              <w:left w:val="nil"/>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t>Commercial and Industrial (kWh)</w:t>
            </w:r>
          </w:p>
        </w:tc>
        <w:tc>
          <w:tcPr>
            <w:tcW w:w="1407" w:type="dxa"/>
            <w:tcBorders>
              <w:top w:val="single" w:sz="4" w:space="0" w:color="FFFFFF"/>
              <w:left w:val="single" w:sz="4" w:space="0" w:color="FFFFFF"/>
              <w:bottom w:val="single" w:sz="4" w:space="0" w:color="FFFFFF"/>
              <w:right w:val="nil"/>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9,151,385</w:t>
            </w:r>
          </w:p>
        </w:tc>
        <w:tc>
          <w:tcPr>
            <w:tcW w:w="1407" w:type="dxa"/>
            <w:tcBorders>
              <w:top w:val="single" w:sz="4" w:space="0" w:color="FFFFFF"/>
              <w:left w:val="single" w:sz="4" w:space="0" w:color="FFFFFF"/>
              <w:bottom w:val="single" w:sz="4" w:space="0" w:color="FFFFFF"/>
              <w:right w:val="nil"/>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9,011,409</w:t>
            </w:r>
          </w:p>
        </w:tc>
        <w:tc>
          <w:tcPr>
            <w:tcW w:w="1407" w:type="dxa"/>
            <w:tcBorders>
              <w:top w:val="single" w:sz="4" w:space="0" w:color="FFFFFF"/>
              <w:left w:val="single" w:sz="4" w:space="0" w:color="FFFFFF"/>
              <w:bottom w:val="single" w:sz="4" w:space="0" w:color="FFFFFF"/>
              <w:right w:val="nil"/>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8,966,766</w:t>
            </w:r>
          </w:p>
        </w:tc>
        <w:tc>
          <w:tcPr>
            <w:tcW w:w="1407" w:type="dxa"/>
            <w:tcBorders>
              <w:top w:val="single" w:sz="4" w:space="0" w:color="FFFFFF"/>
              <w:left w:val="single" w:sz="4" w:space="0" w:color="FFFFFF"/>
              <w:bottom w:val="single" w:sz="4" w:space="0" w:color="FFFFFF"/>
              <w:right w:val="nil"/>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9,527,660</w:t>
            </w:r>
          </w:p>
        </w:tc>
        <w:tc>
          <w:tcPr>
            <w:tcW w:w="1407" w:type="dxa"/>
            <w:tcBorders>
              <w:top w:val="single" w:sz="4" w:space="0" w:color="FFFFFF"/>
              <w:left w:val="single" w:sz="4" w:space="0" w:color="FFFFFF"/>
              <w:bottom w:val="single" w:sz="4" w:space="0" w:color="FFFFFF"/>
              <w:right w:val="nil"/>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11,082,129</w:t>
            </w:r>
          </w:p>
        </w:tc>
      </w:tr>
      <w:tr w:rsidR="00C50CE0">
        <w:trPr>
          <w:trHeight w:val="300"/>
        </w:trPr>
        <w:tc>
          <w:tcPr>
            <w:tcW w:w="2292" w:type="dxa"/>
            <w:tcBorders>
              <w:top w:val="single" w:sz="4" w:space="0" w:color="FFFFFF"/>
              <w:left w:val="nil"/>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 xml:space="preserve">Residential (kWh) </w:t>
            </w:r>
          </w:p>
        </w:tc>
        <w:tc>
          <w:tcPr>
            <w:tcW w:w="1407" w:type="dxa"/>
            <w:tcBorders>
              <w:top w:val="single" w:sz="4" w:space="0" w:color="FFFFFF"/>
              <w:left w:val="single" w:sz="4" w:space="0" w:color="FFFFFF"/>
              <w:bottom w:val="single" w:sz="4" w:space="0" w:color="FFFFFF"/>
              <w:right w:val="nil"/>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jc w:val="right"/>
            </w:pPr>
            <w:r>
              <w:t>11,693,336</w:t>
            </w:r>
          </w:p>
        </w:tc>
        <w:tc>
          <w:tcPr>
            <w:tcW w:w="1407" w:type="dxa"/>
            <w:tcBorders>
              <w:top w:val="single" w:sz="4" w:space="0" w:color="FFFFFF"/>
              <w:left w:val="single" w:sz="4" w:space="0" w:color="FFFFFF"/>
              <w:bottom w:val="single" w:sz="4" w:space="0" w:color="FFFFFF"/>
              <w:right w:val="nil"/>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11,477,958</w:t>
            </w:r>
          </w:p>
        </w:tc>
        <w:tc>
          <w:tcPr>
            <w:tcW w:w="1407" w:type="dxa"/>
            <w:tcBorders>
              <w:top w:val="single" w:sz="4" w:space="0" w:color="FFFFFF"/>
              <w:left w:val="single" w:sz="4" w:space="0" w:color="FFFFFF"/>
              <w:bottom w:val="single" w:sz="4" w:space="0" w:color="FFFFFF"/>
              <w:right w:val="nil"/>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11,359,288</w:t>
            </w:r>
          </w:p>
        </w:tc>
        <w:tc>
          <w:tcPr>
            <w:tcW w:w="1407" w:type="dxa"/>
            <w:tcBorders>
              <w:top w:val="single" w:sz="4" w:space="0" w:color="FFFFFF"/>
              <w:left w:val="single" w:sz="4" w:space="0" w:color="FFFFFF"/>
              <w:bottom w:val="single" w:sz="4" w:space="0" w:color="FFFFFF"/>
              <w:right w:val="nil"/>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11,066,677</w:t>
            </w:r>
          </w:p>
        </w:tc>
        <w:tc>
          <w:tcPr>
            <w:tcW w:w="1407" w:type="dxa"/>
            <w:tcBorders>
              <w:top w:val="single" w:sz="4" w:space="0" w:color="FFFFFF"/>
              <w:left w:val="single" w:sz="4" w:space="0" w:color="FFFFFF"/>
              <w:bottom w:val="single" w:sz="4" w:space="0" w:color="FFFFFF"/>
              <w:right w:val="nil"/>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11,431,724</w:t>
            </w:r>
          </w:p>
        </w:tc>
      </w:tr>
      <w:tr w:rsidR="00C50CE0">
        <w:trPr>
          <w:trHeight w:val="280"/>
        </w:trPr>
        <w:tc>
          <w:tcPr>
            <w:tcW w:w="2292"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Total (kWh)</w:t>
            </w:r>
          </w:p>
        </w:tc>
        <w:tc>
          <w:tcPr>
            <w:tcW w:w="1407"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20,844,721</w:t>
            </w:r>
          </w:p>
        </w:tc>
        <w:tc>
          <w:tcPr>
            <w:tcW w:w="1407"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20,489,367</w:t>
            </w:r>
          </w:p>
        </w:tc>
        <w:tc>
          <w:tcPr>
            <w:tcW w:w="1407"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20,326,054</w:t>
            </w:r>
          </w:p>
        </w:tc>
        <w:tc>
          <w:tcPr>
            <w:tcW w:w="1407"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20,594,337</w:t>
            </w:r>
          </w:p>
        </w:tc>
        <w:tc>
          <w:tcPr>
            <w:tcW w:w="1407"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22,513,85</w:t>
            </w:r>
            <w:r>
              <w:rPr>
                <w:rFonts w:ascii="Calibri" w:eastAsia="Calibri" w:hAnsi="Calibri" w:cs="Calibri"/>
                <w:sz w:val="22"/>
                <w:szCs w:val="22"/>
              </w:rPr>
              <w:t>3</w:t>
            </w:r>
          </w:p>
        </w:tc>
      </w:tr>
    </w:tbl>
    <w:p w:rsidR="00C50CE0" w:rsidRDefault="0032395E">
      <w:pPr>
        <w:widowControl w:val="0"/>
        <w:pBdr>
          <w:top w:val="nil"/>
          <w:left w:val="nil"/>
          <w:bottom w:val="nil"/>
          <w:right w:val="nil"/>
          <w:between w:val="nil"/>
        </w:pBdr>
      </w:pPr>
      <w:r>
        <w:t>(Data from Efficiency Vermont and Green Mountain Power)</w:t>
      </w:r>
    </w:p>
    <w:p w:rsidR="00C50CE0" w:rsidRDefault="00C50CE0">
      <w:pPr>
        <w:widowControl w:val="0"/>
        <w:pBdr>
          <w:top w:val="nil"/>
          <w:left w:val="nil"/>
          <w:bottom w:val="nil"/>
          <w:right w:val="nil"/>
          <w:between w:val="nil"/>
        </w:pBdr>
      </w:pPr>
    </w:p>
    <w:p w:rsidR="00C50CE0" w:rsidRDefault="00C50CE0">
      <w:pPr>
        <w:pBdr>
          <w:top w:val="nil"/>
          <w:left w:val="nil"/>
          <w:bottom w:val="nil"/>
          <w:right w:val="nil"/>
          <w:between w:val="nil"/>
        </w:pBdr>
        <w:rPr>
          <w:b/>
          <w:color w:val="548DD4"/>
        </w:rPr>
      </w:pPr>
    </w:p>
    <w:p w:rsidR="00C50CE0" w:rsidRDefault="0032395E">
      <w:pPr>
        <w:pBdr>
          <w:top w:val="nil"/>
          <w:left w:val="nil"/>
          <w:bottom w:val="nil"/>
          <w:right w:val="nil"/>
          <w:between w:val="nil"/>
        </w:pBdr>
        <w:rPr>
          <w:b/>
          <w:color w:val="548DD4"/>
        </w:rPr>
      </w:pPr>
      <w:r>
        <w:rPr>
          <w:b/>
          <w:noProof/>
          <w:color w:val="548DD4"/>
        </w:rPr>
        <w:drawing>
          <wp:inline distT="114300" distB="114300" distL="114300" distR="114300">
            <wp:extent cx="5776913" cy="244371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76913" cy="2443718"/>
                    </a:xfrm>
                    <a:prstGeom prst="rect">
                      <a:avLst/>
                    </a:prstGeom>
                    <a:ln/>
                  </pic:spPr>
                </pic:pic>
              </a:graphicData>
            </a:graphic>
          </wp:inline>
        </w:drawing>
      </w:r>
    </w:p>
    <w:p w:rsidR="00C50CE0" w:rsidRDefault="00C50CE0">
      <w:pPr>
        <w:pStyle w:val="Heading2"/>
        <w:rPr>
          <w:rFonts w:ascii="Times New Roman" w:eastAsia="Times New Roman" w:hAnsi="Times New Roman" w:cs="Times New Roman"/>
          <w:sz w:val="24"/>
          <w:szCs w:val="24"/>
        </w:rPr>
      </w:pPr>
    </w:p>
    <w:p w:rsidR="00C50CE0" w:rsidRDefault="0032395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Targets</w:t>
      </w:r>
    </w:p>
    <w:p w:rsidR="00C50CE0" w:rsidRDefault="0032395E">
      <w:pPr>
        <w:pBdr>
          <w:top w:val="nil"/>
          <w:left w:val="nil"/>
          <w:bottom w:val="nil"/>
          <w:right w:val="nil"/>
          <w:between w:val="nil"/>
        </w:pBdr>
        <w:rPr>
          <w:color w:val="000000"/>
        </w:rPr>
      </w:pPr>
      <w:r>
        <w:rPr>
          <w:color w:val="000000"/>
        </w:rPr>
        <w:t xml:space="preserve">Like the thermal targets noted above, Bristol will need to focus on efficiency and conservation to impact the amount of electricity that it uses.  </w:t>
      </w:r>
      <w:r>
        <w:t>E</w:t>
      </w:r>
      <w:r>
        <w:rPr>
          <w:color w:val="000000"/>
        </w:rPr>
        <w:t>lectrical consumption in Bristol is nearly evenly split by commercial and residential custom</w:t>
      </w:r>
      <w:r>
        <w:t>ers</w:t>
      </w:r>
      <w:r>
        <w:rPr>
          <w:color w:val="000000"/>
        </w:rPr>
        <w:t xml:space="preserve">, so the targets will require both individual home owners to improve the thermal efficiencies of their structures, as noted in the previous chapter, and increase the efficiency of the electrical fixtures, motors and bulbs used in their homes and appliances.  </w:t>
      </w:r>
    </w:p>
    <w:p w:rsidR="00C50CE0" w:rsidRDefault="00C50CE0">
      <w:pPr>
        <w:pBdr>
          <w:top w:val="nil"/>
          <w:left w:val="nil"/>
          <w:bottom w:val="nil"/>
          <w:right w:val="nil"/>
          <w:between w:val="nil"/>
        </w:pBdr>
      </w:pPr>
    </w:p>
    <w:p w:rsidR="00C50CE0" w:rsidRDefault="0032395E">
      <w:pPr>
        <w:pBdr>
          <w:top w:val="nil"/>
          <w:left w:val="nil"/>
          <w:bottom w:val="nil"/>
          <w:right w:val="nil"/>
          <w:between w:val="nil"/>
        </w:pBdr>
        <w:rPr>
          <w:color w:val="000000"/>
        </w:rPr>
      </w:pPr>
      <w:r>
        <w:rPr>
          <w:color w:val="000000"/>
        </w:rPr>
        <w:t>However, even with significant efficiency steps taken by businesses and residents, Bristol</w:t>
      </w:r>
      <w:r>
        <w:rPr>
          <w:rFonts w:ascii="Calibri" w:eastAsia="Calibri" w:hAnsi="Calibri" w:cs="Calibri"/>
          <w:color w:val="000000"/>
        </w:rPr>
        <w:t>’</w:t>
      </w:r>
      <w:r>
        <w:rPr>
          <w:color w:val="000000"/>
        </w:rPr>
        <w:t>s electrical usage is predicted to increase, largely because many of the new technologies needed to reduce fossil fuel consumption, like heat pumps and electric cars, increase Bristol</w:t>
      </w:r>
      <w:r>
        <w:rPr>
          <w:rFonts w:ascii="Calibri" w:eastAsia="Calibri" w:hAnsi="Calibri" w:cs="Calibri"/>
          <w:color w:val="000000"/>
        </w:rPr>
        <w:t>’</w:t>
      </w:r>
      <w:r>
        <w:rPr>
          <w:color w:val="000000"/>
        </w:rPr>
        <w:t xml:space="preserve">s consumption of electricity.  This strategy only works to reduce greenhouse gases if one assumes the electricity stems from renewable generation.  Table 5, below, shows that Bristol must increase its efficiency and conservation by nearly 60% by 2050 to meet the proposed targets. Technology advances, like better fuel or motor efficiency will drive this change. However, this plan anticipates that Bristol and its residents will also need to make significant improvements to meet the targets.   </w:t>
      </w:r>
    </w:p>
    <w:p w:rsidR="00C50CE0" w:rsidRDefault="0032395E">
      <w:pPr>
        <w:pBdr>
          <w:top w:val="nil"/>
          <w:left w:val="nil"/>
          <w:bottom w:val="nil"/>
          <w:right w:val="nil"/>
          <w:between w:val="nil"/>
        </w:pBdr>
        <w:rPr>
          <w:b/>
          <w:color w:val="FF0000"/>
        </w:rPr>
      </w:pPr>
      <w:r>
        <w:rPr>
          <w:color w:val="000000"/>
        </w:rPr>
        <w:lastRenderedPageBreak/>
        <w:t xml:space="preserve"> </w:t>
      </w:r>
    </w:p>
    <w:tbl>
      <w:tblPr>
        <w:tblStyle w:val="a3"/>
        <w:tblW w:w="916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679"/>
        <w:gridCol w:w="1528"/>
        <w:gridCol w:w="1458"/>
        <w:gridCol w:w="1498"/>
      </w:tblGrid>
      <w:tr w:rsidR="00C50CE0">
        <w:trPr>
          <w:trHeight w:val="280"/>
        </w:trPr>
        <w:tc>
          <w:tcPr>
            <w:tcW w:w="4680" w:type="dxa"/>
            <w:tcBorders>
              <w:top w:val="nil"/>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Table 5. Electricity Efficiency Targets</w:t>
            </w:r>
          </w:p>
        </w:tc>
        <w:tc>
          <w:tcPr>
            <w:tcW w:w="1528"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u w:val="single"/>
              </w:rPr>
              <w:t>2025</w:t>
            </w:r>
          </w:p>
        </w:tc>
        <w:tc>
          <w:tcPr>
            <w:tcW w:w="1458"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u w:val="single"/>
              </w:rPr>
              <w:t>2035</w:t>
            </w:r>
          </w:p>
        </w:tc>
        <w:tc>
          <w:tcPr>
            <w:tcW w:w="1498"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u w:val="single"/>
              </w:rPr>
              <w:t>2050</w:t>
            </w:r>
          </w:p>
        </w:tc>
      </w:tr>
      <w:tr w:rsidR="00C50CE0">
        <w:trPr>
          <w:trHeight w:val="280"/>
        </w:trPr>
        <w:tc>
          <w:tcPr>
            <w:tcW w:w="4680"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Increase Efficiency and Conservation</w:t>
            </w:r>
          </w:p>
        </w:tc>
        <w:tc>
          <w:tcPr>
            <w:tcW w:w="1528"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10.8%</w:t>
            </w:r>
          </w:p>
        </w:tc>
        <w:tc>
          <w:tcPr>
            <w:tcW w:w="1458"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37.2%</w:t>
            </w:r>
          </w:p>
        </w:tc>
        <w:tc>
          <w:tcPr>
            <w:tcW w:w="1498"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59.2%</w:t>
            </w:r>
          </w:p>
        </w:tc>
      </w:tr>
    </w:tbl>
    <w:p w:rsidR="00C50CE0" w:rsidRDefault="00C50CE0">
      <w:pPr>
        <w:widowControl w:val="0"/>
        <w:pBdr>
          <w:top w:val="nil"/>
          <w:left w:val="nil"/>
          <w:bottom w:val="nil"/>
          <w:right w:val="nil"/>
          <w:between w:val="nil"/>
        </w:pBdr>
        <w:rPr>
          <w:b/>
          <w:color w:val="FF0000"/>
        </w:rPr>
      </w:pPr>
    </w:p>
    <w:p w:rsidR="00C50CE0" w:rsidRDefault="0032395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Pathways to Implementation- Goals, Policies and Recommended Actions</w:t>
      </w:r>
    </w:p>
    <w:p w:rsidR="00C50CE0" w:rsidRDefault="0032395E">
      <w:pPr>
        <w:pBdr>
          <w:top w:val="nil"/>
          <w:left w:val="nil"/>
          <w:bottom w:val="nil"/>
          <w:right w:val="nil"/>
          <w:between w:val="nil"/>
        </w:pBdr>
        <w:rPr>
          <w:color w:val="000000"/>
        </w:rPr>
      </w:pPr>
      <w:r>
        <w:rPr>
          <w:color w:val="000000"/>
        </w:rPr>
        <w:t xml:space="preserve">Given the significant changes, noted above, that Bristol will need to adopt to conserve energy and increase efficiency in order to meet statewide targets, Bristol promotes the following Goals, Policies and Recommended Actions for itself and its citizens: </w:t>
      </w:r>
    </w:p>
    <w:p w:rsidR="00C50CE0" w:rsidRDefault="0032395E">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Goals</w:t>
      </w:r>
    </w:p>
    <w:p w:rsidR="00C50CE0" w:rsidRDefault="0032395E" w:rsidP="0032395E">
      <w:pPr>
        <w:pBdr>
          <w:top w:val="nil"/>
          <w:left w:val="nil"/>
          <w:bottom w:val="nil"/>
          <w:right w:val="nil"/>
          <w:between w:val="nil"/>
        </w:pBdr>
        <w:ind w:left="360" w:hanging="360"/>
        <w:rPr>
          <w:color w:val="000000"/>
        </w:rPr>
      </w:pPr>
      <w:r>
        <w:rPr>
          <w:b/>
          <w:color w:val="000000"/>
        </w:rPr>
        <w:t>1. Conserve renewable and nonrenewable energy resources.</w:t>
      </w:r>
    </w:p>
    <w:p w:rsidR="00C50CE0" w:rsidRDefault="0032395E" w:rsidP="0032395E">
      <w:pPr>
        <w:pBdr>
          <w:top w:val="nil"/>
          <w:left w:val="nil"/>
          <w:bottom w:val="nil"/>
          <w:right w:val="nil"/>
          <w:between w:val="nil"/>
        </w:pBdr>
        <w:ind w:left="360" w:right="-270" w:hanging="360"/>
        <w:rPr>
          <w:color w:val="000000"/>
        </w:rPr>
      </w:pPr>
      <w:r>
        <w:rPr>
          <w:b/>
          <w:color w:val="000000"/>
        </w:rPr>
        <w:t>2. Reduce reliance on nonrenewable energy sources such as oil and gas, and shift reliance to renewable energy sources by encouraging conversion to electric heat pumps and cars.</w:t>
      </w:r>
    </w:p>
    <w:p w:rsidR="00C50CE0" w:rsidRDefault="0032395E" w:rsidP="0032395E">
      <w:pPr>
        <w:pBdr>
          <w:top w:val="nil"/>
          <w:left w:val="nil"/>
          <w:bottom w:val="nil"/>
          <w:right w:val="nil"/>
          <w:between w:val="nil"/>
        </w:pBdr>
        <w:ind w:left="360" w:hanging="360"/>
        <w:rPr>
          <w:color w:val="000000"/>
        </w:rPr>
      </w:pPr>
      <w:r>
        <w:rPr>
          <w:b/>
          <w:color w:val="000000"/>
        </w:rPr>
        <w:t>3. Reduce emissions of greenhouse gases and substances that cause acid rain by switching from nonrenewable resources to renewable electric resources</w:t>
      </w:r>
      <w:r>
        <w:rPr>
          <w:b/>
        </w:rPr>
        <w:t>.</w:t>
      </w:r>
    </w:p>
    <w:p w:rsidR="00C50CE0" w:rsidRDefault="0032395E" w:rsidP="0032395E">
      <w:pPr>
        <w:pBdr>
          <w:top w:val="nil"/>
          <w:left w:val="nil"/>
          <w:bottom w:val="nil"/>
          <w:right w:val="nil"/>
          <w:between w:val="nil"/>
        </w:pBdr>
        <w:spacing w:after="160" w:line="259" w:lineRule="auto"/>
        <w:ind w:left="360" w:hanging="360"/>
        <w:rPr>
          <w:color w:val="000000"/>
        </w:rPr>
      </w:pPr>
      <w:r>
        <w:rPr>
          <w:b/>
          <w:color w:val="000000"/>
        </w:rPr>
        <w:t xml:space="preserve">4. Plan for increased electric demand with the support of </w:t>
      </w:r>
      <w:r>
        <w:rPr>
          <w:b/>
        </w:rPr>
        <w:t>local electric and efficiency utilities.</w:t>
      </w:r>
    </w:p>
    <w:p w:rsidR="00C50CE0" w:rsidRDefault="0032395E">
      <w:pPr>
        <w:pStyle w:val="Heading2"/>
        <w:ind w:left="360" w:hanging="36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Policies</w:t>
      </w:r>
    </w:p>
    <w:p w:rsidR="00C50CE0" w:rsidRDefault="0032395E" w:rsidP="0032395E">
      <w:pPr>
        <w:pBdr>
          <w:top w:val="nil"/>
          <w:left w:val="nil"/>
          <w:bottom w:val="nil"/>
          <w:right w:val="nil"/>
          <w:between w:val="nil"/>
        </w:pBdr>
        <w:spacing w:line="259" w:lineRule="auto"/>
        <w:ind w:left="360" w:hanging="360"/>
        <w:rPr>
          <w:color w:val="000000"/>
        </w:rPr>
      </w:pPr>
      <w:r>
        <w:rPr>
          <w:color w:val="000000"/>
        </w:rPr>
        <w:t xml:space="preserve">1. Support energy conservation efforts and the </w:t>
      </w:r>
      <w:r>
        <w:t>most productive</w:t>
      </w:r>
      <w:r>
        <w:rPr>
          <w:color w:val="000000"/>
        </w:rPr>
        <w:t xml:space="preserve"> use of energy by installing efficient electrical appliances and equipment.</w:t>
      </w:r>
    </w:p>
    <w:p w:rsidR="00C50CE0" w:rsidRDefault="0032395E" w:rsidP="0032395E">
      <w:pPr>
        <w:pBdr>
          <w:top w:val="nil"/>
          <w:left w:val="nil"/>
          <w:bottom w:val="nil"/>
          <w:right w:val="nil"/>
          <w:between w:val="nil"/>
        </w:pBdr>
        <w:tabs>
          <w:tab w:val="left" w:pos="360"/>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right="900" w:hanging="360"/>
        <w:rPr>
          <w:color w:val="000000"/>
        </w:rPr>
      </w:pPr>
      <w:r>
        <w:rPr>
          <w:color w:val="000000"/>
        </w:rPr>
        <w:t xml:space="preserve">2. Promote energy efficiency in all buildings, especially new and renovated </w:t>
      </w:r>
      <w:r>
        <w:t>structure</w:t>
      </w:r>
      <w:r>
        <w:rPr>
          <w:color w:val="000000"/>
        </w:rPr>
        <w:t>s.</w:t>
      </w:r>
    </w:p>
    <w:p w:rsidR="00C50CE0" w:rsidRDefault="0032395E" w:rsidP="0032395E">
      <w:pPr>
        <w:pBdr>
          <w:top w:val="nil"/>
          <w:left w:val="nil"/>
          <w:bottom w:val="nil"/>
          <w:right w:val="nil"/>
          <w:between w:val="nil"/>
        </w:pBdr>
        <w:spacing w:line="259" w:lineRule="auto"/>
        <w:ind w:left="360" w:hanging="360"/>
        <w:rPr>
          <w:color w:val="000000"/>
        </w:rPr>
      </w:pPr>
      <w:r>
        <w:rPr>
          <w:color w:val="000000"/>
        </w:rPr>
        <w:t xml:space="preserve">3. Support the </w:t>
      </w:r>
      <w:r>
        <w:t>use of</w:t>
      </w:r>
      <w:r>
        <w:rPr>
          <w:color w:val="000000"/>
        </w:rPr>
        <w:t xml:space="preserve"> electric heat pump systems</w:t>
      </w:r>
      <w:r>
        <w:t xml:space="preserve"> for heating and cooling.</w:t>
      </w:r>
    </w:p>
    <w:p w:rsidR="00C50CE0" w:rsidRDefault="0032395E" w:rsidP="0032395E">
      <w:pPr>
        <w:pBdr>
          <w:top w:val="nil"/>
          <w:left w:val="nil"/>
          <w:bottom w:val="nil"/>
          <w:right w:val="nil"/>
          <w:between w:val="nil"/>
        </w:pBdr>
        <w:spacing w:line="259" w:lineRule="auto"/>
        <w:ind w:left="360" w:hanging="360"/>
        <w:rPr>
          <w:color w:val="000000"/>
        </w:rPr>
      </w:pPr>
      <w:r>
        <w:t>4. Encourage LED lighting and the most current technology for lighting.</w:t>
      </w:r>
    </w:p>
    <w:p w:rsidR="00C50CE0" w:rsidRDefault="0032395E" w:rsidP="0032395E">
      <w:pPr>
        <w:pBdr>
          <w:top w:val="nil"/>
          <w:left w:val="nil"/>
          <w:bottom w:val="nil"/>
          <w:right w:val="nil"/>
          <w:between w:val="nil"/>
        </w:pBdr>
        <w:spacing w:line="259" w:lineRule="auto"/>
        <w:ind w:left="360" w:hanging="360"/>
        <w:rPr>
          <w:color w:val="000000"/>
        </w:rPr>
      </w:pPr>
      <w:r>
        <w:rPr>
          <w:color w:val="000000"/>
        </w:rPr>
        <w:t>5. Encourage the transition to renewable and lower</w:t>
      </w:r>
      <w:r>
        <w:t xml:space="preserve"> </w:t>
      </w:r>
      <w:r>
        <w:rPr>
          <w:color w:val="000000"/>
        </w:rPr>
        <w:t>life cycle emission (extraction, processing, storage</w:t>
      </w:r>
      <w:r>
        <w:t>,</w:t>
      </w:r>
      <w:r>
        <w:rPr>
          <w:color w:val="000000"/>
        </w:rPr>
        <w:t xml:space="preserve"> transportation, and burning) electrical energy sources.</w:t>
      </w:r>
    </w:p>
    <w:p w:rsidR="00C50CE0" w:rsidRDefault="0032395E" w:rsidP="0032395E">
      <w:pPr>
        <w:pBdr>
          <w:top w:val="nil"/>
          <w:left w:val="nil"/>
          <w:bottom w:val="nil"/>
          <w:right w:val="nil"/>
          <w:between w:val="nil"/>
        </w:pBdr>
        <w:spacing w:line="259" w:lineRule="auto"/>
        <w:ind w:left="360" w:hanging="360"/>
      </w:pPr>
      <w:r>
        <w:t>6. Encourage monitoring to evaluate and improve electricity use.</w:t>
      </w:r>
    </w:p>
    <w:p w:rsidR="00C50CE0" w:rsidRDefault="0032395E">
      <w:pPr>
        <w:pStyle w:val="Heading2"/>
        <w:ind w:left="360" w:hanging="36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Recommended Actions</w:t>
      </w:r>
    </w:p>
    <w:p w:rsidR="00C50CE0" w:rsidRPr="0032395E" w:rsidRDefault="0032395E" w:rsidP="0032395E">
      <w:pPr>
        <w:pStyle w:val="ListParagraph"/>
        <w:pBdr>
          <w:top w:val="nil"/>
          <w:left w:val="nil"/>
          <w:bottom w:val="nil"/>
          <w:right w:val="nil"/>
          <w:between w:val="nil"/>
        </w:pBdr>
        <w:spacing w:line="259" w:lineRule="auto"/>
        <w:ind w:left="360" w:hanging="360"/>
        <w:rPr>
          <w:color w:val="000000"/>
        </w:rPr>
      </w:pPr>
      <w:r>
        <w:rPr>
          <w:color w:val="000000"/>
        </w:rPr>
        <w:t xml:space="preserve">1. </w:t>
      </w:r>
      <w:r w:rsidRPr="0032395E">
        <w:rPr>
          <w:color w:val="000000"/>
        </w:rPr>
        <w:t>Promote</w:t>
      </w:r>
      <w:r>
        <w:t xml:space="preserve"> using the latest and highest</w:t>
      </w:r>
      <w:r w:rsidRPr="0032395E">
        <w:rPr>
          <w:color w:val="000000"/>
        </w:rPr>
        <w:t xml:space="preserve"> residential and commercial building energy standards by distributing code information to permit applicants and working closely with the Zoning Administrator. </w:t>
      </w:r>
    </w:p>
    <w:p w:rsidR="00C50CE0" w:rsidRDefault="0032395E" w:rsidP="0032395E">
      <w:pPr>
        <w:pBdr>
          <w:top w:val="nil"/>
          <w:left w:val="nil"/>
          <w:bottom w:val="nil"/>
          <w:right w:val="nil"/>
          <w:between w:val="nil"/>
        </w:pBdr>
        <w:spacing w:line="259" w:lineRule="auto"/>
        <w:ind w:left="360" w:hanging="360"/>
        <w:rPr>
          <w:color w:val="000000"/>
        </w:rPr>
      </w:pPr>
      <w:r>
        <w:rPr>
          <w:color w:val="000000"/>
        </w:rPr>
        <w:t xml:space="preserve">2. Plan for and install electric vehicle charging infrastructure on municipal property.  </w:t>
      </w:r>
    </w:p>
    <w:p w:rsidR="00C50CE0" w:rsidRDefault="0032395E" w:rsidP="0032395E">
      <w:pPr>
        <w:pBdr>
          <w:top w:val="nil"/>
          <w:left w:val="nil"/>
          <w:bottom w:val="nil"/>
          <w:right w:val="nil"/>
          <w:between w:val="nil"/>
        </w:pBdr>
        <w:spacing w:line="259" w:lineRule="auto"/>
        <w:ind w:left="360" w:hanging="360"/>
        <w:rPr>
          <w:color w:val="000000"/>
        </w:rPr>
      </w:pPr>
      <w:r>
        <w:rPr>
          <w:color w:val="000000"/>
        </w:rPr>
        <w:t>3. Investigate the installation of municipal solar and/or wind net-metering facilities to offset municipal electric use.</w:t>
      </w:r>
    </w:p>
    <w:p w:rsidR="00C50CE0" w:rsidRDefault="0032395E" w:rsidP="0032395E">
      <w:pPr>
        <w:pBdr>
          <w:top w:val="nil"/>
          <w:left w:val="nil"/>
          <w:bottom w:val="nil"/>
          <w:right w:val="nil"/>
          <w:between w:val="nil"/>
        </w:pBdr>
        <w:spacing w:line="259" w:lineRule="auto"/>
        <w:ind w:left="360" w:hanging="360"/>
        <w:rPr>
          <w:color w:val="000000"/>
        </w:rPr>
      </w:pPr>
      <w:r>
        <w:rPr>
          <w:color w:val="000000"/>
        </w:rPr>
        <w:t>4. Investigate installation of community-based renewable energy project(s) to allow Bristol</w:t>
      </w:r>
      <w:r>
        <w:rPr>
          <w:rFonts w:ascii="Calibri" w:eastAsia="Calibri" w:hAnsi="Calibri" w:cs="Calibri"/>
          <w:color w:val="000000"/>
        </w:rPr>
        <w:t>’</w:t>
      </w:r>
      <w:r>
        <w:rPr>
          <w:color w:val="000000"/>
        </w:rPr>
        <w:t xml:space="preserve">s citizens to participate in the economic benefits of local energy production. </w:t>
      </w:r>
    </w:p>
    <w:p w:rsidR="00C50CE0" w:rsidRDefault="0032395E" w:rsidP="0032395E">
      <w:pPr>
        <w:pBdr>
          <w:top w:val="nil"/>
          <w:left w:val="nil"/>
          <w:bottom w:val="nil"/>
          <w:right w:val="nil"/>
          <w:between w:val="nil"/>
        </w:pBdr>
        <w:spacing w:line="259" w:lineRule="auto"/>
        <w:ind w:left="360" w:hanging="360"/>
        <w:rPr>
          <w:color w:val="000000"/>
        </w:rPr>
      </w:pPr>
      <w:r>
        <w:t>5. Designate funding</w:t>
      </w:r>
      <w:r>
        <w:rPr>
          <w:color w:val="000000"/>
        </w:rPr>
        <w:t xml:space="preserve"> to upgrade and monitor the efficiencies in all town buildings, including the school, town hall, library, town garage, volunteer fire department building, and town offices.</w:t>
      </w:r>
    </w:p>
    <w:p w:rsidR="00C50CE0" w:rsidRDefault="0032395E" w:rsidP="0032395E">
      <w:pPr>
        <w:pBdr>
          <w:top w:val="nil"/>
          <w:left w:val="nil"/>
          <w:bottom w:val="nil"/>
          <w:right w:val="nil"/>
          <w:between w:val="nil"/>
        </w:pBdr>
        <w:spacing w:line="259" w:lineRule="auto"/>
        <w:ind w:left="360" w:hanging="360"/>
        <w:rPr>
          <w:color w:val="000000"/>
        </w:rPr>
      </w:pPr>
      <w:r>
        <w:rPr>
          <w:color w:val="000000"/>
        </w:rPr>
        <w:t xml:space="preserve">6. Incorporate </w:t>
      </w:r>
      <w:r>
        <w:t>electric vehicle</w:t>
      </w:r>
      <w:r>
        <w:rPr>
          <w:color w:val="000000"/>
        </w:rPr>
        <w:t xml:space="preserve"> ready standards into building code</w:t>
      </w:r>
      <w:r>
        <w:t>.</w:t>
      </w:r>
    </w:p>
    <w:p w:rsidR="00C50CE0" w:rsidRDefault="00C50CE0">
      <w:pPr>
        <w:pBdr>
          <w:top w:val="nil"/>
          <w:left w:val="nil"/>
          <w:bottom w:val="nil"/>
          <w:right w:val="nil"/>
          <w:between w:val="nil"/>
        </w:pBdr>
        <w:rPr>
          <w:b/>
          <w:color w:val="548DD4"/>
        </w:rPr>
      </w:pPr>
    </w:p>
    <w:p w:rsidR="00C50CE0" w:rsidRDefault="0032395E">
      <w:pPr>
        <w:pBdr>
          <w:top w:val="nil"/>
          <w:left w:val="nil"/>
          <w:bottom w:val="nil"/>
          <w:right w:val="nil"/>
          <w:between w:val="nil"/>
        </w:pBdr>
        <w:rPr>
          <w:rFonts w:ascii="Calibri" w:eastAsia="Calibri" w:hAnsi="Calibri" w:cs="Calibri"/>
          <w:color w:val="000000"/>
          <w:sz w:val="22"/>
          <w:szCs w:val="22"/>
        </w:rPr>
      </w:pPr>
      <w:r>
        <w:br w:type="page"/>
      </w:r>
    </w:p>
    <w:p w:rsidR="00C50CE0" w:rsidRDefault="0032395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Transportation Use Analysis</w:t>
      </w:r>
    </w:p>
    <w:p w:rsidR="00C50CE0" w:rsidRDefault="0032395E">
      <w:pPr>
        <w:widowControl w:val="0"/>
        <w:pBdr>
          <w:top w:val="nil"/>
          <w:left w:val="nil"/>
          <w:bottom w:val="nil"/>
          <w:right w:val="nil"/>
          <w:between w:val="nil"/>
        </w:pBdr>
        <w:rPr>
          <w:color w:val="000000"/>
        </w:rPr>
      </w:pPr>
      <w:r>
        <w:rPr>
          <w:color w:val="000000"/>
        </w:rPr>
        <w:t>More than any other sector, the transportation costs borne by Bristol</w:t>
      </w:r>
      <w:r>
        <w:rPr>
          <w:rFonts w:ascii="Calibri" w:eastAsia="Calibri" w:hAnsi="Calibri" w:cs="Calibri"/>
          <w:color w:val="000000"/>
        </w:rPr>
        <w:t>’</w:t>
      </w:r>
      <w:r>
        <w:rPr>
          <w:color w:val="000000"/>
        </w:rPr>
        <w:t>s residential vehicle use demonstrate the scope of the change that will need to take place in Bristol to meet the State</w:t>
      </w:r>
      <w:r>
        <w:rPr>
          <w:rFonts w:ascii="Calibri" w:eastAsia="Calibri" w:hAnsi="Calibri" w:cs="Calibri"/>
          <w:color w:val="000000"/>
        </w:rPr>
        <w:t>’</w:t>
      </w:r>
      <w:r>
        <w:rPr>
          <w:color w:val="000000"/>
        </w:rPr>
        <w:t>s energy goals.  Based upon the number of registered vehicles in Bristol assumed average vehicle miles travelled, gas mileage per vehicle and assumed gas prices at their current level, the table shows Bristol residents spend over $1.4 million dollars per year on residential vehicle trips.  While some money will go to local gas stations, the majority of the cost per gallon leaves the local economy. Reducing vehicle miles by transforming local infrastructure to provide for other choices than single family vehicles can aid conservation and efficiency savings for individuals. Converting to different, locally produced generation sources of energy for transportation could help reinvest some that money locally.  Table 6, below, depicts Bristol</w:t>
      </w:r>
      <w:r>
        <w:rPr>
          <w:rFonts w:ascii="Calibri" w:eastAsia="Calibri" w:hAnsi="Calibri" w:cs="Calibri"/>
          <w:color w:val="000000"/>
        </w:rPr>
        <w:t>’</w:t>
      </w:r>
      <w:r>
        <w:rPr>
          <w:color w:val="000000"/>
        </w:rPr>
        <w:t>s fuel usage for passenger vehicles (not includ</w:t>
      </w:r>
      <w:r>
        <w:t>ing</w:t>
      </w:r>
      <w:r>
        <w:rPr>
          <w:color w:val="000000"/>
        </w:rPr>
        <w:t xml:space="preserve"> heavy trucks or farm vehicles).  </w:t>
      </w:r>
    </w:p>
    <w:p w:rsidR="00C50CE0" w:rsidRDefault="00C50CE0">
      <w:pPr>
        <w:widowControl w:val="0"/>
        <w:pBdr>
          <w:top w:val="nil"/>
          <w:left w:val="nil"/>
          <w:bottom w:val="nil"/>
          <w:right w:val="nil"/>
          <w:between w:val="nil"/>
        </w:pBdr>
      </w:pPr>
    </w:p>
    <w:tbl>
      <w:tblPr>
        <w:tblStyle w:val="a4"/>
        <w:tblW w:w="93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3705"/>
        <w:gridCol w:w="1305"/>
        <w:gridCol w:w="4344"/>
      </w:tblGrid>
      <w:tr w:rsidR="00C50CE0">
        <w:trPr>
          <w:trHeight w:val="280"/>
        </w:trPr>
        <w:tc>
          <w:tcPr>
            <w:tcW w:w="9354" w:type="dxa"/>
            <w:gridSpan w:val="3"/>
            <w:tcBorders>
              <w:top w:val="single" w:sz="8" w:space="0" w:color="000000"/>
              <w:left w:val="nil"/>
              <w:bottom w:val="nil"/>
              <w:right w:val="nil"/>
            </w:tcBorders>
            <w:shd w:val="clear" w:color="auto" w:fill="333399"/>
            <w:tcMar>
              <w:top w:w="80" w:type="dxa"/>
              <w:left w:w="80" w:type="dxa"/>
              <w:bottom w:w="80" w:type="dxa"/>
              <w:right w:w="80" w:type="dxa"/>
            </w:tcMar>
            <w:vAlign w:val="bottom"/>
          </w:tcPr>
          <w:p w:rsidR="00C50CE0" w:rsidRDefault="0032395E">
            <w:pPr>
              <w:pBdr>
                <w:top w:val="nil"/>
                <w:left w:val="nil"/>
                <w:bottom w:val="nil"/>
                <w:right w:val="nil"/>
                <w:between w:val="nil"/>
              </w:pBdr>
              <w:jc w:val="center"/>
              <w:rPr>
                <w:color w:val="FFFFFF"/>
                <w:sz w:val="22"/>
                <w:szCs w:val="22"/>
              </w:rPr>
            </w:pPr>
            <w:r>
              <w:rPr>
                <w:b/>
                <w:color w:val="FFFFFF"/>
              </w:rPr>
              <w:t>6. Current Municipal Transportation Energy Use</w:t>
            </w:r>
          </w:p>
        </w:tc>
      </w:tr>
      <w:tr w:rsidR="00C50CE0">
        <w:trPr>
          <w:trHeight w:val="280"/>
        </w:trPr>
        <w:tc>
          <w:tcPr>
            <w:tcW w:w="3705" w:type="dxa"/>
            <w:tcBorders>
              <w:top w:val="nil"/>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Variable</w:t>
            </w:r>
          </w:p>
        </w:tc>
        <w:tc>
          <w:tcPr>
            <w:tcW w:w="1305" w:type="dxa"/>
            <w:tcBorders>
              <w:top w:val="nil"/>
              <w:left w:val="single" w:sz="4" w:space="0" w:color="FFFFFF"/>
              <w:bottom w:val="single" w:sz="4" w:space="0" w:color="FFFFFF"/>
              <w:right w:val="single" w:sz="8"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Quantity</w:t>
            </w:r>
          </w:p>
        </w:tc>
        <w:tc>
          <w:tcPr>
            <w:tcW w:w="4344" w:type="dxa"/>
            <w:tcBorders>
              <w:top w:val="nil"/>
              <w:left w:val="single" w:sz="8" w:space="0" w:color="FFFFFF"/>
              <w:bottom w:val="single" w:sz="4" w:space="0" w:color="FFFFFF"/>
              <w:right w:val="single" w:sz="8" w:space="0" w:color="FFFFFF"/>
            </w:tcBorders>
            <w:shd w:val="clear" w:color="auto" w:fill="4F81BD"/>
            <w:tcMar>
              <w:top w:w="80" w:type="dxa"/>
              <w:left w:w="80" w:type="dxa"/>
              <w:bottom w:w="80" w:type="dxa"/>
              <w:right w:w="80" w:type="dxa"/>
            </w:tcMar>
            <w:vAlign w:val="center"/>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Information Source</w:t>
            </w:r>
          </w:p>
        </w:tc>
      </w:tr>
      <w:tr w:rsidR="00C50CE0">
        <w:trPr>
          <w:trHeight w:val="300"/>
        </w:trPr>
        <w:tc>
          <w:tcPr>
            <w:tcW w:w="3705" w:type="dxa"/>
            <w:tcBorders>
              <w:top w:val="single" w:sz="4" w:space="0" w:color="FFFFFF"/>
              <w:left w:val="nil"/>
              <w:bottom w:val="single" w:sz="4" w:space="0" w:color="FFFFFF"/>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 xml:space="preserve">Total # of Vehicles </w:t>
            </w:r>
          </w:p>
        </w:tc>
        <w:tc>
          <w:tcPr>
            <w:tcW w:w="1305" w:type="dxa"/>
            <w:tcBorders>
              <w:top w:val="single" w:sz="4" w:space="0" w:color="FFFFFF"/>
              <w:left w:val="single" w:sz="4" w:space="0" w:color="FFFFFF"/>
              <w:bottom w:val="single" w:sz="4" w:space="0" w:color="FFFFFF"/>
              <w:right w:val="single" w:sz="8"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2,972</w:t>
            </w:r>
          </w:p>
        </w:tc>
        <w:tc>
          <w:tcPr>
            <w:tcW w:w="4344" w:type="dxa"/>
            <w:tcBorders>
              <w:top w:val="single" w:sz="4" w:space="0" w:color="FFFFFF"/>
              <w:left w:val="single" w:sz="8" w:space="0" w:color="FFFFFF"/>
              <w:bottom w:val="single" w:sz="4" w:space="0" w:color="FFFFFF"/>
              <w:right w:val="single" w:sz="8" w:space="0" w:color="FFFFFF"/>
            </w:tcBorders>
            <w:shd w:val="clear" w:color="auto" w:fill="B8CCE4"/>
            <w:tcMar>
              <w:top w:w="80" w:type="dxa"/>
              <w:left w:w="80" w:type="dxa"/>
              <w:bottom w:w="80" w:type="dxa"/>
              <w:right w:w="80" w:type="dxa"/>
            </w:tcMar>
            <w:vAlign w:val="center"/>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American Community Survey 2016</w:t>
            </w:r>
          </w:p>
        </w:tc>
      </w:tr>
      <w:tr w:rsidR="00C50CE0">
        <w:trPr>
          <w:trHeight w:val="300"/>
        </w:trPr>
        <w:tc>
          <w:tcPr>
            <w:tcW w:w="3705" w:type="dxa"/>
            <w:tcBorders>
              <w:top w:val="single" w:sz="4" w:space="0" w:color="FFFFFF"/>
              <w:left w:val="nil"/>
              <w:bottom w:val="single" w:sz="4" w:space="0" w:color="FFFFFF"/>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Average Annual Miles per Vehicle</w:t>
            </w:r>
          </w:p>
        </w:tc>
        <w:tc>
          <w:tcPr>
            <w:tcW w:w="1305" w:type="dxa"/>
            <w:tcBorders>
              <w:top w:val="single" w:sz="4" w:space="0" w:color="FFFFFF"/>
              <w:left w:val="single" w:sz="4" w:space="0" w:color="FFFFFF"/>
              <w:bottom w:val="single" w:sz="4" w:space="0" w:color="FFFFFF"/>
              <w:right w:val="single" w:sz="8"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11,356</w:t>
            </w:r>
          </w:p>
        </w:tc>
        <w:tc>
          <w:tcPr>
            <w:tcW w:w="4344" w:type="dxa"/>
            <w:tcBorders>
              <w:top w:val="single" w:sz="4" w:space="0" w:color="FFFFFF"/>
              <w:left w:val="single" w:sz="8" w:space="0" w:color="FFFFFF"/>
              <w:bottom w:val="single" w:sz="4" w:space="0" w:color="FFFFFF"/>
              <w:right w:val="single" w:sz="8" w:space="0" w:color="FFFFFF"/>
            </w:tcBorders>
            <w:shd w:val="clear" w:color="auto" w:fill="DCE6F1"/>
            <w:tcMar>
              <w:top w:w="80" w:type="dxa"/>
              <w:left w:w="80" w:type="dxa"/>
              <w:bottom w:w="80" w:type="dxa"/>
              <w:right w:w="80" w:type="dxa"/>
            </w:tcMar>
            <w:vAlign w:val="center"/>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VTrans 2017 Energy Profile</w:t>
            </w:r>
          </w:p>
        </w:tc>
      </w:tr>
      <w:tr w:rsidR="00C50CE0">
        <w:trPr>
          <w:trHeight w:val="300"/>
        </w:trPr>
        <w:tc>
          <w:tcPr>
            <w:tcW w:w="3705" w:type="dxa"/>
            <w:tcBorders>
              <w:top w:val="single" w:sz="4" w:space="0" w:color="FFFFFF"/>
              <w:left w:val="nil"/>
              <w:bottom w:val="single" w:sz="4" w:space="0" w:color="FFFFFF"/>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t xml:space="preserve">Approximate </w:t>
            </w:r>
            <w:r>
              <w:rPr>
                <w:color w:val="000000"/>
              </w:rPr>
              <w:t>Total Miles Traveled</w:t>
            </w:r>
          </w:p>
        </w:tc>
        <w:tc>
          <w:tcPr>
            <w:tcW w:w="1305" w:type="dxa"/>
            <w:tcBorders>
              <w:top w:val="single" w:sz="4" w:space="0" w:color="FFFFFF"/>
              <w:left w:val="single" w:sz="4" w:space="0" w:color="FFFFFF"/>
              <w:bottom w:val="single" w:sz="4" w:space="0" w:color="FFFFFF"/>
              <w:right w:val="single" w:sz="8"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33,705,032</w:t>
            </w:r>
          </w:p>
        </w:tc>
        <w:tc>
          <w:tcPr>
            <w:tcW w:w="4344" w:type="dxa"/>
            <w:tcBorders>
              <w:top w:val="single" w:sz="4" w:space="0" w:color="FFFFFF"/>
              <w:left w:val="single" w:sz="8" w:space="0" w:color="FFFFFF"/>
              <w:bottom w:val="single" w:sz="4" w:space="0" w:color="FFFFFF"/>
              <w:right w:val="single" w:sz="8"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 </w:t>
            </w:r>
          </w:p>
        </w:tc>
      </w:tr>
      <w:tr w:rsidR="00C50CE0">
        <w:trPr>
          <w:trHeight w:val="300"/>
        </w:trPr>
        <w:tc>
          <w:tcPr>
            <w:tcW w:w="3705" w:type="dxa"/>
            <w:tcBorders>
              <w:top w:val="single" w:sz="4" w:space="0" w:color="FFFFFF"/>
              <w:left w:val="nil"/>
              <w:bottom w:val="single" w:sz="4" w:space="0" w:color="FFFFFF"/>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 </w:t>
            </w:r>
          </w:p>
        </w:tc>
        <w:tc>
          <w:tcPr>
            <w:tcW w:w="1305" w:type="dxa"/>
            <w:tcBorders>
              <w:top w:val="single" w:sz="4" w:space="0" w:color="FFFFFF"/>
              <w:left w:val="single" w:sz="4" w:space="0" w:color="FFFFFF"/>
              <w:bottom w:val="single" w:sz="4" w:space="0" w:color="FFFFFF"/>
              <w:right w:val="single" w:sz="8" w:space="0" w:color="FFFFFF"/>
            </w:tcBorders>
            <w:shd w:val="clear" w:color="auto" w:fill="DCE6F1"/>
            <w:tcMar>
              <w:top w:w="80" w:type="dxa"/>
              <w:left w:w="80" w:type="dxa"/>
              <w:bottom w:w="80" w:type="dxa"/>
              <w:right w:w="80" w:type="dxa"/>
            </w:tcMar>
            <w:vAlign w:val="bottom"/>
          </w:tcPr>
          <w:p w:rsidR="00C50CE0" w:rsidRDefault="00C50CE0"/>
        </w:tc>
        <w:tc>
          <w:tcPr>
            <w:tcW w:w="4344" w:type="dxa"/>
            <w:tcBorders>
              <w:top w:val="single" w:sz="4" w:space="0" w:color="FFFFFF"/>
              <w:left w:val="single" w:sz="8" w:space="0" w:color="FFFFFF"/>
              <w:bottom w:val="single" w:sz="4" w:space="0" w:color="FFFFFF"/>
              <w:right w:val="single" w:sz="8"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 </w:t>
            </w:r>
          </w:p>
        </w:tc>
      </w:tr>
      <w:tr w:rsidR="00C50CE0">
        <w:trPr>
          <w:trHeight w:val="300"/>
        </w:trPr>
        <w:tc>
          <w:tcPr>
            <w:tcW w:w="3705" w:type="dxa"/>
            <w:tcBorders>
              <w:top w:val="single" w:sz="4" w:space="0" w:color="FFFFFF"/>
              <w:left w:val="nil"/>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Average Realized MPG</w:t>
            </w:r>
          </w:p>
        </w:tc>
        <w:tc>
          <w:tcPr>
            <w:tcW w:w="1305" w:type="dxa"/>
            <w:tcBorders>
              <w:top w:val="single" w:sz="4" w:space="0" w:color="FFFFFF"/>
              <w:left w:val="single" w:sz="4" w:space="0" w:color="FFFFFF"/>
              <w:bottom w:val="single" w:sz="4" w:space="0" w:color="FFFFFF"/>
              <w:right w:val="single" w:sz="8"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18.6</w:t>
            </w:r>
          </w:p>
        </w:tc>
        <w:tc>
          <w:tcPr>
            <w:tcW w:w="4344" w:type="dxa"/>
            <w:tcBorders>
              <w:top w:val="single" w:sz="4" w:space="0" w:color="FFFFFF"/>
              <w:left w:val="single" w:sz="8" w:space="0" w:color="FFFFFF"/>
              <w:bottom w:val="single" w:sz="4" w:space="0" w:color="FFFFFF"/>
              <w:right w:val="single" w:sz="8" w:space="0" w:color="FFFFFF"/>
            </w:tcBorders>
            <w:shd w:val="clear" w:color="auto" w:fill="B8CCE4"/>
            <w:tcMar>
              <w:top w:w="80" w:type="dxa"/>
              <w:left w:w="80" w:type="dxa"/>
              <w:bottom w:w="80" w:type="dxa"/>
              <w:right w:w="80" w:type="dxa"/>
            </w:tcMar>
            <w:vAlign w:val="center"/>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VTrans 2017 Energy Profile</w:t>
            </w:r>
          </w:p>
        </w:tc>
      </w:tr>
      <w:tr w:rsidR="00C50CE0">
        <w:trPr>
          <w:trHeight w:val="300"/>
        </w:trPr>
        <w:tc>
          <w:tcPr>
            <w:tcW w:w="3705" w:type="dxa"/>
            <w:tcBorders>
              <w:top w:val="single" w:sz="4" w:space="0" w:color="FFFFFF"/>
              <w:left w:val="nil"/>
              <w:bottom w:val="single" w:sz="4" w:space="0" w:color="FFFFFF"/>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rPr>
              <w:t>Total Gallons Use per Year</w:t>
            </w:r>
          </w:p>
        </w:tc>
        <w:tc>
          <w:tcPr>
            <w:tcW w:w="1305" w:type="dxa"/>
            <w:tcBorders>
              <w:top w:val="single" w:sz="4" w:space="0" w:color="FFFFFF"/>
              <w:left w:val="single" w:sz="4" w:space="0" w:color="FFFFFF"/>
              <w:bottom w:val="single" w:sz="4" w:space="0" w:color="FFFFFF"/>
              <w:right w:val="single" w:sz="8"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1,814,518</w:t>
            </w:r>
          </w:p>
        </w:tc>
        <w:tc>
          <w:tcPr>
            <w:tcW w:w="4344" w:type="dxa"/>
            <w:tcBorders>
              <w:top w:val="single" w:sz="4" w:space="0" w:color="FFFFFF"/>
              <w:left w:val="single" w:sz="8" w:space="0" w:color="FFFFFF"/>
              <w:bottom w:val="single" w:sz="4" w:space="0" w:color="FFFFFF"/>
              <w:right w:val="single" w:sz="8"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 </w:t>
            </w:r>
          </w:p>
        </w:tc>
      </w:tr>
      <w:tr w:rsidR="00C50CE0">
        <w:trPr>
          <w:trHeight w:val="300"/>
        </w:trPr>
        <w:tc>
          <w:tcPr>
            <w:tcW w:w="3705" w:type="dxa"/>
            <w:tcBorders>
              <w:top w:val="single" w:sz="4" w:space="0" w:color="FFFFFF"/>
              <w:left w:val="nil"/>
              <w:bottom w:val="single" w:sz="4" w:space="0" w:color="FFFFFF"/>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rPr>
              <w:t>Transportation BTUs (Billion)</w:t>
            </w:r>
          </w:p>
        </w:tc>
        <w:tc>
          <w:tcPr>
            <w:tcW w:w="1305" w:type="dxa"/>
            <w:tcBorders>
              <w:top w:val="single" w:sz="4" w:space="0" w:color="FFFFFF"/>
              <w:left w:val="single" w:sz="4" w:space="0" w:color="FFFFFF"/>
              <w:bottom w:val="single" w:sz="4" w:space="0" w:color="FFFFFF"/>
              <w:right w:val="single" w:sz="8"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218</w:t>
            </w:r>
          </w:p>
        </w:tc>
        <w:tc>
          <w:tcPr>
            <w:tcW w:w="4344" w:type="dxa"/>
            <w:tcBorders>
              <w:top w:val="single" w:sz="4" w:space="0" w:color="FFFFFF"/>
              <w:left w:val="single" w:sz="8" w:space="0" w:color="FFFFFF"/>
              <w:bottom w:val="single" w:sz="4" w:space="0" w:color="FFFFFF"/>
              <w:right w:val="single" w:sz="8"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 </w:t>
            </w:r>
          </w:p>
        </w:tc>
      </w:tr>
      <w:tr w:rsidR="00C50CE0">
        <w:trPr>
          <w:trHeight w:val="300"/>
        </w:trPr>
        <w:tc>
          <w:tcPr>
            <w:tcW w:w="3705" w:type="dxa"/>
            <w:tcBorders>
              <w:top w:val="single" w:sz="4" w:space="0" w:color="FFFFFF"/>
              <w:left w:val="nil"/>
              <w:bottom w:val="single" w:sz="4" w:space="0" w:color="FFFFFF"/>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 </w:t>
            </w:r>
          </w:p>
        </w:tc>
        <w:tc>
          <w:tcPr>
            <w:tcW w:w="1305" w:type="dxa"/>
            <w:tcBorders>
              <w:top w:val="single" w:sz="4" w:space="0" w:color="FFFFFF"/>
              <w:left w:val="single" w:sz="4" w:space="0" w:color="FFFFFF"/>
              <w:bottom w:val="single" w:sz="4" w:space="0" w:color="FFFFFF"/>
              <w:right w:val="single" w:sz="8" w:space="0" w:color="FFFFFF"/>
            </w:tcBorders>
            <w:shd w:val="clear" w:color="auto" w:fill="DCE6F1"/>
            <w:tcMar>
              <w:top w:w="80" w:type="dxa"/>
              <w:left w:w="80" w:type="dxa"/>
              <w:bottom w:w="80" w:type="dxa"/>
              <w:right w:w="80" w:type="dxa"/>
            </w:tcMar>
            <w:vAlign w:val="bottom"/>
          </w:tcPr>
          <w:p w:rsidR="00C50CE0" w:rsidRDefault="00C50CE0"/>
        </w:tc>
        <w:tc>
          <w:tcPr>
            <w:tcW w:w="4344" w:type="dxa"/>
            <w:tcBorders>
              <w:top w:val="single" w:sz="4" w:space="0" w:color="FFFFFF"/>
              <w:left w:val="single" w:sz="8" w:space="0" w:color="FFFFFF"/>
              <w:bottom w:val="single" w:sz="4" w:space="0" w:color="FFFFFF"/>
              <w:right w:val="single" w:sz="8"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 </w:t>
            </w:r>
          </w:p>
        </w:tc>
      </w:tr>
      <w:tr w:rsidR="00C50CE0">
        <w:trPr>
          <w:trHeight w:val="600"/>
        </w:trPr>
        <w:tc>
          <w:tcPr>
            <w:tcW w:w="3705" w:type="dxa"/>
            <w:tcBorders>
              <w:top w:val="single" w:sz="4" w:space="0" w:color="FFFFFF"/>
              <w:left w:val="nil"/>
              <w:bottom w:val="single" w:sz="4" w:space="0" w:color="FFFFFF"/>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Average Cost per Gallon</w:t>
            </w:r>
            <w:r>
              <w:t xml:space="preserve"> </w:t>
            </w:r>
            <w:r>
              <w:rPr>
                <w:color w:val="000000"/>
              </w:rPr>
              <w:t>Gasoline</w:t>
            </w:r>
          </w:p>
        </w:tc>
        <w:tc>
          <w:tcPr>
            <w:tcW w:w="1305" w:type="dxa"/>
            <w:tcBorders>
              <w:top w:val="single" w:sz="4" w:space="0" w:color="FFFFFF"/>
              <w:left w:val="single" w:sz="4" w:space="0" w:color="FFFFFF"/>
              <w:bottom w:val="single" w:sz="4" w:space="0" w:color="FFFFFF"/>
              <w:right w:val="single" w:sz="8"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$2.78</w:t>
            </w:r>
          </w:p>
        </w:tc>
        <w:tc>
          <w:tcPr>
            <w:tcW w:w="4344" w:type="dxa"/>
            <w:tcBorders>
              <w:top w:val="single" w:sz="4" w:space="0" w:color="FFFFFF"/>
              <w:left w:val="single" w:sz="8" w:space="0" w:color="FFFFFF"/>
              <w:bottom w:val="single" w:sz="4" w:space="0" w:color="FFFFFF"/>
              <w:right w:val="single" w:sz="8" w:space="0" w:color="FFFFFF"/>
            </w:tcBorders>
            <w:shd w:val="clear" w:color="auto" w:fill="B8CCE4"/>
            <w:tcMar>
              <w:top w:w="80" w:type="dxa"/>
              <w:left w:w="80" w:type="dxa"/>
              <w:bottom w:w="80" w:type="dxa"/>
              <w:right w:w="80" w:type="dxa"/>
            </w:tcMar>
            <w:vAlign w:val="center"/>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VTrans Fuel Prices 2018</w:t>
            </w:r>
          </w:p>
        </w:tc>
      </w:tr>
      <w:tr w:rsidR="00C50CE0">
        <w:trPr>
          <w:trHeight w:val="280"/>
        </w:trPr>
        <w:tc>
          <w:tcPr>
            <w:tcW w:w="3705" w:type="dxa"/>
            <w:tcBorders>
              <w:top w:val="single" w:sz="4" w:space="0" w:color="FFFFFF"/>
              <w:left w:val="nil"/>
              <w:bottom w:val="nil"/>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rPr>
              <w:t xml:space="preserve">Total </w:t>
            </w:r>
            <w:r>
              <w:rPr>
                <w:b/>
                <w:color w:val="000000"/>
              </w:rPr>
              <w:t>Gasoline Cost per Year</w:t>
            </w:r>
          </w:p>
        </w:tc>
        <w:tc>
          <w:tcPr>
            <w:tcW w:w="1305" w:type="dxa"/>
            <w:tcBorders>
              <w:top w:val="single" w:sz="4" w:space="0" w:color="FFFFFF"/>
              <w:left w:val="single" w:sz="4" w:space="0" w:color="FFFFFF"/>
              <w:bottom w:val="nil"/>
              <w:right w:val="single" w:sz="8"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w:t>
            </w:r>
            <w:r>
              <w:t>5,044,359</w:t>
            </w:r>
          </w:p>
        </w:tc>
        <w:tc>
          <w:tcPr>
            <w:tcW w:w="4344" w:type="dxa"/>
            <w:tcBorders>
              <w:top w:val="single" w:sz="4" w:space="0" w:color="FFFFFF"/>
              <w:left w:val="single" w:sz="8" w:space="0" w:color="FFFFFF"/>
              <w:bottom w:val="nil"/>
              <w:right w:val="single" w:sz="8"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 </w:t>
            </w:r>
          </w:p>
        </w:tc>
      </w:tr>
    </w:tbl>
    <w:p w:rsidR="00C50CE0" w:rsidRDefault="00C50CE0">
      <w:pPr>
        <w:widowControl w:val="0"/>
        <w:pBdr>
          <w:top w:val="nil"/>
          <w:left w:val="nil"/>
          <w:bottom w:val="nil"/>
          <w:right w:val="nil"/>
          <w:between w:val="nil"/>
        </w:pBdr>
        <w:rPr>
          <w:color w:val="000000"/>
        </w:rPr>
      </w:pP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pPr>
      <w:r>
        <w:t>O</w:t>
      </w:r>
      <w:r>
        <w:rPr>
          <w:color w:val="000000"/>
        </w:rPr>
        <w:t>n average, Bristol</w:t>
      </w:r>
      <w:r>
        <w:rPr>
          <w:rFonts w:ascii="Calibri" w:eastAsia="Calibri" w:hAnsi="Calibri" w:cs="Calibri"/>
          <w:color w:val="000000"/>
        </w:rPr>
        <w:t>’</w:t>
      </w:r>
      <w:r>
        <w:rPr>
          <w:color w:val="000000"/>
        </w:rPr>
        <w:t xml:space="preserve">s citizens average </w:t>
      </w:r>
      <w:r>
        <w:t>almost</w:t>
      </w:r>
      <w:r>
        <w:rPr>
          <w:color w:val="000000"/>
        </w:rPr>
        <w:t xml:space="preserve"> two cars per household. If we divide the </w:t>
      </w:r>
      <w:r>
        <w:t>total amount</w:t>
      </w:r>
      <w:r>
        <w:rPr>
          <w:color w:val="000000"/>
        </w:rPr>
        <w:t xml:space="preserve"> spent on gasoline by the number of households, it shows the average household spends, approximately $</w:t>
      </w:r>
      <w:r>
        <w:t>3</w:t>
      </w:r>
      <w:r>
        <w:rPr>
          <w:color w:val="000000"/>
        </w:rPr>
        <w:t>,</w:t>
      </w:r>
      <w:r>
        <w:t>000</w:t>
      </w:r>
      <w:r>
        <w:rPr>
          <w:color w:val="000000"/>
        </w:rPr>
        <w:t xml:space="preserve"> per year on just gasoline.  </w:t>
      </w: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Style w:val="Heading2"/>
        <w:rPr>
          <w:rFonts w:ascii="Times New Roman" w:eastAsia="Times New Roman" w:hAnsi="Times New Roman" w:cs="Times New Roman"/>
          <w:sz w:val="24"/>
          <w:szCs w:val="24"/>
        </w:rPr>
      </w:pPr>
    </w:p>
    <w:p w:rsidR="00C50CE0" w:rsidRDefault="00C50CE0">
      <w:pPr>
        <w:pStyle w:val="Heading2"/>
        <w:rPr>
          <w:rFonts w:ascii="Times New Roman" w:eastAsia="Times New Roman" w:hAnsi="Times New Roman" w:cs="Times New Roman"/>
          <w:sz w:val="24"/>
          <w:szCs w:val="24"/>
        </w:rPr>
      </w:pPr>
      <w:bookmarkStart w:id="2" w:name="_30j0zll" w:colFirst="0" w:colLast="0"/>
      <w:bookmarkEnd w:id="2"/>
    </w:p>
    <w:p w:rsidR="00C50CE0" w:rsidRDefault="0032395E">
      <w:pPr>
        <w:pStyle w:val="Heading2"/>
        <w:rPr>
          <w:rFonts w:ascii="Times New Roman" w:eastAsia="Times New Roman" w:hAnsi="Times New Roman" w:cs="Times New Roman"/>
          <w:sz w:val="24"/>
          <w:szCs w:val="24"/>
        </w:rPr>
      </w:pPr>
      <w:bookmarkStart w:id="3" w:name="_k02gg8ivnig5" w:colFirst="0" w:colLast="0"/>
      <w:bookmarkEnd w:id="3"/>
      <w:r>
        <w:rPr>
          <w:rFonts w:ascii="Times New Roman" w:eastAsia="Times New Roman" w:hAnsi="Times New Roman" w:cs="Times New Roman"/>
          <w:sz w:val="24"/>
          <w:szCs w:val="24"/>
        </w:rPr>
        <w:lastRenderedPageBreak/>
        <w:t>Transportation Targets</w:t>
      </w:r>
    </w:p>
    <w:p w:rsidR="00C50CE0" w:rsidRDefault="0032395E">
      <w:pPr>
        <w:widowControl w:val="0"/>
        <w:pBdr>
          <w:top w:val="nil"/>
          <w:left w:val="nil"/>
          <w:bottom w:val="nil"/>
          <w:right w:val="nil"/>
          <w:between w:val="nil"/>
        </w:pBdr>
        <w:rPr>
          <w:color w:val="000000"/>
        </w:rPr>
      </w:pPr>
      <w:r>
        <w:rPr>
          <w:color w:val="000000"/>
        </w:rPr>
        <w:t xml:space="preserve">Hopefully, the costs quoted above will provide some incentive to move towards the proposed targets in Tables 7 A, B, and C below. </w:t>
      </w:r>
    </w:p>
    <w:tbl>
      <w:tblPr>
        <w:tblStyle w:val="a5"/>
        <w:tblW w:w="84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408"/>
        <w:gridCol w:w="1260"/>
        <w:gridCol w:w="1350"/>
        <w:gridCol w:w="1440"/>
      </w:tblGrid>
      <w:tr w:rsidR="00C50CE0">
        <w:trPr>
          <w:trHeight w:val="580"/>
        </w:trPr>
        <w:tc>
          <w:tcPr>
            <w:tcW w:w="4408" w:type="dxa"/>
            <w:tcBorders>
              <w:top w:val="nil"/>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Table 7A. Use of Renewables - Transportation</w:t>
            </w:r>
          </w:p>
        </w:tc>
        <w:tc>
          <w:tcPr>
            <w:tcW w:w="126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2025</w:t>
            </w:r>
          </w:p>
        </w:tc>
        <w:tc>
          <w:tcPr>
            <w:tcW w:w="135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2035</w:t>
            </w:r>
          </w:p>
        </w:tc>
        <w:tc>
          <w:tcPr>
            <w:tcW w:w="1440"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2050</w:t>
            </w:r>
          </w:p>
        </w:tc>
      </w:tr>
      <w:tr w:rsidR="00C50CE0">
        <w:trPr>
          <w:trHeight w:val="280"/>
        </w:trPr>
        <w:tc>
          <w:tcPr>
            <w:tcW w:w="4408"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Renewable Energy Use - Transportation</w:t>
            </w:r>
          </w:p>
        </w:tc>
        <w:tc>
          <w:tcPr>
            <w:tcW w:w="126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2.7%</w:t>
            </w:r>
          </w:p>
        </w:tc>
        <w:tc>
          <w:tcPr>
            <w:tcW w:w="135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18.2%</w:t>
            </w:r>
          </w:p>
        </w:tc>
        <w:tc>
          <w:tcPr>
            <w:tcW w:w="1440"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83.5%</w:t>
            </w:r>
          </w:p>
        </w:tc>
      </w:tr>
    </w:tbl>
    <w:p w:rsidR="00C50CE0" w:rsidRDefault="00C50CE0">
      <w:pPr>
        <w:widowControl w:val="0"/>
        <w:pBdr>
          <w:top w:val="nil"/>
          <w:left w:val="nil"/>
          <w:bottom w:val="nil"/>
          <w:right w:val="nil"/>
          <w:between w:val="nil"/>
        </w:pBdr>
        <w:rPr>
          <w:color w:val="000000"/>
        </w:rPr>
      </w:pPr>
    </w:p>
    <w:p w:rsidR="00C50CE0" w:rsidRDefault="00C50CE0">
      <w:pPr>
        <w:widowControl w:val="0"/>
        <w:pBdr>
          <w:top w:val="nil"/>
          <w:left w:val="nil"/>
          <w:bottom w:val="nil"/>
          <w:right w:val="nil"/>
          <w:between w:val="nil"/>
        </w:pBdr>
        <w:rPr>
          <w:b/>
          <w:color w:val="FF0000"/>
        </w:rPr>
      </w:pPr>
    </w:p>
    <w:tbl>
      <w:tblPr>
        <w:tblStyle w:val="a6"/>
        <w:tblW w:w="84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408"/>
        <w:gridCol w:w="1260"/>
        <w:gridCol w:w="1350"/>
        <w:gridCol w:w="1440"/>
      </w:tblGrid>
      <w:tr w:rsidR="00C50CE0">
        <w:trPr>
          <w:trHeight w:val="600"/>
        </w:trPr>
        <w:tc>
          <w:tcPr>
            <w:tcW w:w="4408" w:type="dxa"/>
            <w:tcBorders>
              <w:top w:val="single" w:sz="8" w:space="0" w:color="000000"/>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Table 7B. Transportation Fuel Switching Target - Electric Vehicles</w:t>
            </w:r>
          </w:p>
        </w:tc>
        <w:tc>
          <w:tcPr>
            <w:tcW w:w="1260" w:type="dxa"/>
            <w:tcBorders>
              <w:top w:val="single" w:sz="8" w:space="0" w:color="000000"/>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2025</w:t>
            </w:r>
          </w:p>
        </w:tc>
        <w:tc>
          <w:tcPr>
            <w:tcW w:w="1350" w:type="dxa"/>
            <w:tcBorders>
              <w:top w:val="single" w:sz="8" w:space="0" w:color="000000"/>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2035</w:t>
            </w:r>
          </w:p>
        </w:tc>
        <w:tc>
          <w:tcPr>
            <w:tcW w:w="1440" w:type="dxa"/>
            <w:tcBorders>
              <w:top w:val="single" w:sz="8" w:space="0" w:color="000000"/>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2050</w:t>
            </w:r>
          </w:p>
        </w:tc>
      </w:tr>
      <w:tr w:rsidR="00C50CE0">
        <w:trPr>
          <w:trHeight w:val="280"/>
        </w:trPr>
        <w:tc>
          <w:tcPr>
            <w:tcW w:w="4408"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Electric Vehicles</w:t>
            </w:r>
          </w:p>
        </w:tc>
        <w:tc>
          <w:tcPr>
            <w:tcW w:w="126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265</w:t>
            </w:r>
          </w:p>
        </w:tc>
        <w:tc>
          <w:tcPr>
            <w:tcW w:w="135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1804</w:t>
            </w:r>
          </w:p>
        </w:tc>
        <w:tc>
          <w:tcPr>
            <w:tcW w:w="1440"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3,518</w:t>
            </w:r>
          </w:p>
        </w:tc>
      </w:tr>
    </w:tbl>
    <w:p w:rsidR="00C50CE0" w:rsidRDefault="00C50CE0">
      <w:pPr>
        <w:widowControl w:val="0"/>
        <w:pBdr>
          <w:top w:val="nil"/>
          <w:left w:val="nil"/>
          <w:bottom w:val="nil"/>
          <w:right w:val="nil"/>
          <w:between w:val="nil"/>
        </w:pBdr>
        <w:rPr>
          <w:b/>
          <w:color w:val="FF0000"/>
        </w:rPr>
      </w:pPr>
    </w:p>
    <w:p w:rsidR="00C50CE0" w:rsidRDefault="00C50CE0">
      <w:pPr>
        <w:widowControl w:val="0"/>
        <w:pBdr>
          <w:top w:val="nil"/>
          <w:left w:val="nil"/>
          <w:bottom w:val="nil"/>
          <w:right w:val="nil"/>
          <w:between w:val="nil"/>
        </w:pBdr>
        <w:rPr>
          <w:b/>
          <w:color w:val="FF0000"/>
        </w:rPr>
      </w:pPr>
    </w:p>
    <w:tbl>
      <w:tblPr>
        <w:tblStyle w:val="a7"/>
        <w:tblW w:w="84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408"/>
        <w:gridCol w:w="1260"/>
        <w:gridCol w:w="1350"/>
        <w:gridCol w:w="1440"/>
      </w:tblGrid>
      <w:tr w:rsidR="00C50CE0">
        <w:trPr>
          <w:trHeight w:val="580"/>
        </w:trPr>
        <w:tc>
          <w:tcPr>
            <w:tcW w:w="4408" w:type="dxa"/>
            <w:tcBorders>
              <w:top w:val="nil"/>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Table 7C. Transportation Fuel Switching Target - Biodiesel Vehicles</w:t>
            </w:r>
          </w:p>
        </w:tc>
        <w:tc>
          <w:tcPr>
            <w:tcW w:w="126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2025</w:t>
            </w:r>
          </w:p>
        </w:tc>
        <w:tc>
          <w:tcPr>
            <w:tcW w:w="135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2035</w:t>
            </w:r>
          </w:p>
        </w:tc>
        <w:tc>
          <w:tcPr>
            <w:tcW w:w="1440"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FFFFFF"/>
              </w:rPr>
              <w:t>2050</w:t>
            </w:r>
          </w:p>
        </w:tc>
      </w:tr>
      <w:tr w:rsidR="00C50CE0">
        <w:trPr>
          <w:trHeight w:val="280"/>
        </w:trPr>
        <w:tc>
          <w:tcPr>
            <w:tcW w:w="4408"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Biodiesel Vehicles</w:t>
            </w:r>
          </w:p>
        </w:tc>
        <w:tc>
          <w:tcPr>
            <w:tcW w:w="1260" w:type="dxa"/>
            <w:tcBorders>
              <w:top w:val="single" w:sz="4" w:space="0" w:color="FFFFFF"/>
              <w:left w:val="single" w:sz="4" w:space="0" w:color="FFFFFF"/>
              <w:bottom w:val="nil"/>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58</w:t>
            </w:r>
          </w:p>
        </w:tc>
        <w:tc>
          <w:tcPr>
            <w:tcW w:w="1350" w:type="dxa"/>
            <w:tcBorders>
              <w:top w:val="single" w:sz="4" w:space="0" w:color="FFFFFF"/>
              <w:left w:val="single" w:sz="4" w:space="0" w:color="FFFFFF"/>
              <w:bottom w:val="nil"/>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99</w:t>
            </w:r>
          </w:p>
        </w:tc>
        <w:tc>
          <w:tcPr>
            <w:tcW w:w="1440" w:type="dxa"/>
            <w:tcBorders>
              <w:top w:val="single" w:sz="4" w:space="0" w:color="FFFFFF"/>
              <w:left w:val="single" w:sz="4" w:space="0" w:color="FFFFFF"/>
              <w:bottom w:val="nil"/>
              <w:right w:val="single" w:sz="4" w:space="0" w:color="FFFFFF"/>
            </w:tcBorders>
            <w:shd w:val="clear" w:color="auto" w:fill="CCCCFF"/>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142</w:t>
            </w:r>
          </w:p>
        </w:tc>
      </w:tr>
    </w:tbl>
    <w:p w:rsidR="00C50CE0" w:rsidRDefault="00C50CE0">
      <w:pPr>
        <w:widowControl w:val="0"/>
        <w:pBdr>
          <w:top w:val="nil"/>
          <w:left w:val="nil"/>
          <w:bottom w:val="nil"/>
          <w:right w:val="nil"/>
          <w:between w:val="nil"/>
        </w:pBdr>
        <w:rPr>
          <w:b/>
          <w:color w:val="FF0000"/>
        </w:rPr>
      </w:pP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As the Tables show, to meet the proposed targets, by 2050, over 83%, or more than 4 out of 5, residential vehicles in Bristol will need to run on renewably generated electricity.  Additionally, most commercial vehicles and farm equipment will need to switch from diesel to </w:t>
      </w:r>
      <w:r>
        <w:t>biodiesel</w:t>
      </w:r>
      <w:r>
        <w:rPr>
          <w:color w:val="000000"/>
        </w:rPr>
        <w:t xml:space="preserve">.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However, converting fuels, but primarily relying on single family vehicles will only produce so much savings. In order to reduce vehicles miles travelled, Bristol will need to encourage other lifestyle changes.  These include supporting and building alternative transportation infrastructure and promoting more compact building options in specific areas close to necessary services. Offering increased public transportation options is a great way for residents and the whole region to cut down on transportation costs and energy consumption.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Bristol is serviced by Addison County Transit Resources (ACTR) and more recently by ACTR</w:t>
      </w:r>
      <w:r>
        <w:rPr>
          <w:rFonts w:ascii="Calibri" w:eastAsia="Calibri" w:hAnsi="Calibri" w:cs="Calibri"/>
          <w:color w:val="000000"/>
        </w:rPr>
        <w:t>’</w:t>
      </w:r>
      <w:r>
        <w:rPr>
          <w:color w:val="000000"/>
        </w:rPr>
        <w:t xml:space="preserve">s 116 Commuter and Tri-Town Shuttle bus routes operating Monday through Friday.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In recent years more than half of Bristol</w:t>
      </w:r>
      <w:r>
        <w:rPr>
          <w:rFonts w:ascii="Calibri" w:eastAsia="Calibri" w:hAnsi="Calibri" w:cs="Calibri"/>
          <w:color w:val="000000"/>
        </w:rPr>
        <w:t>’</w:t>
      </w:r>
      <w:r>
        <w:rPr>
          <w:color w:val="000000"/>
        </w:rPr>
        <w:t xml:space="preserve">s employed residents travelled to work outside of town </w:t>
      </w:r>
      <w:r>
        <w:rPr>
          <w:rFonts w:ascii="Calibri" w:eastAsia="Calibri" w:hAnsi="Calibri" w:cs="Calibri"/>
          <w:color w:val="000000"/>
        </w:rPr>
        <w:t xml:space="preserve">– </w:t>
      </w:r>
      <w:r>
        <w:rPr>
          <w:color w:val="000000"/>
        </w:rPr>
        <w:t>many to Middlebury (~20%), Vergennes (~5%), and Burlington or South Burlington (~14%). Carpooling would be beneficial for these residents not only in fuel conservation, but also in reduced wear and tear and maintenance on vehicles. ACTR offers a Rideshare program that allows area residents to match their commuting needs with neighbors interested in carpooling. Based on 2011 survey results of 84 residents, 50 residents never carpool, and 33 said they wouldn</w:t>
      </w:r>
      <w:r>
        <w:rPr>
          <w:rFonts w:ascii="Calibri" w:eastAsia="Calibri" w:hAnsi="Calibri" w:cs="Calibri"/>
          <w:color w:val="000000"/>
        </w:rPr>
        <w:t>’</w:t>
      </w:r>
      <w:r>
        <w:rPr>
          <w:color w:val="000000"/>
        </w:rPr>
        <w:t xml:space="preserve">t consider it, even if it were an option. Giving up flexibility, having small children, and having a varying schedule were reasons why residents would not consider this option.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Lastly, offering infrastructure that promotes biking and walking, and by creating a village center with services and jobs for Bristol</w:t>
      </w:r>
      <w:r>
        <w:rPr>
          <w:rFonts w:ascii="Calibri" w:eastAsia="Calibri" w:hAnsi="Calibri" w:cs="Calibri"/>
          <w:color w:val="000000"/>
        </w:rPr>
        <w:t>’</w:t>
      </w:r>
      <w:r>
        <w:rPr>
          <w:color w:val="000000"/>
        </w:rPr>
        <w:t>s residents constitute other ways to reduce the community</w:t>
      </w:r>
      <w:r>
        <w:rPr>
          <w:rFonts w:ascii="Calibri" w:eastAsia="Calibri" w:hAnsi="Calibri" w:cs="Calibri"/>
          <w:color w:val="000000"/>
        </w:rPr>
        <w:t>’</w:t>
      </w:r>
      <w:r>
        <w:rPr>
          <w:color w:val="000000"/>
        </w:rPr>
        <w:t xml:space="preserve">s reliance on single occupancy vehicular travel. </w:t>
      </w:r>
    </w:p>
    <w:p w:rsidR="00C50CE0" w:rsidRDefault="0032395E">
      <w:pPr>
        <w:pBdr>
          <w:top w:val="nil"/>
          <w:left w:val="nil"/>
          <w:bottom w:val="nil"/>
          <w:right w:val="nil"/>
          <w:between w:val="nil"/>
        </w:pBdr>
        <w:rPr>
          <w:rFonts w:ascii="Calibri" w:eastAsia="Calibri" w:hAnsi="Calibri" w:cs="Calibri"/>
          <w:color w:val="000000"/>
          <w:sz w:val="22"/>
          <w:szCs w:val="22"/>
        </w:rPr>
      </w:pPr>
      <w:r>
        <w:br w:type="page"/>
      </w:r>
    </w:p>
    <w:p w:rsidR="00C50CE0" w:rsidRDefault="0032395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Transportation Pathways to Implementation- Goals, Policies and Recommended Actions</w:t>
      </w:r>
    </w:p>
    <w:p w:rsidR="00C50CE0" w:rsidRDefault="0032395E">
      <w:pPr>
        <w:pBdr>
          <w:top w:val="nil"/>
          <w:left w:val="nil"/>
          <w:bottom w:val="nil"/>
          <w:right w:val="nil"/>
          <w:between w:val="nil"/>
        </w:pBdr>
        <w:rPr>
          <w:color w:val="000000"/>
        </w:rPr>
      </w:pPr>
      <w:r>
        <w:rPr>
          <w:color w:val="000000"/>
        </w:rPr>
        <w:t xml:space="preserve">Given the significant changes, noted above, that Bristol will need to adopt to switch fuel sources in order to meet statewide targets, Bristol promotes the following Goals, Policies and Recommended Actions for itself and its citizens. </w:t>
      </w:r>
    </w:p>
    <w:p w:rsidR="00C50CE0" w:rsidRDefault="0032395E">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Goals</w:t>
      </w:r>
    </w:p>
    <w:p w:rsidR="00C50CE0" w:rsidRPr="007805D9" w:rsidRDefault="0032395E" w:rsidP="00D72EE9">
      <w:pPr>
        <w:pStyle w:val="ListParagraph"/>
        <w:numPr>
          <w:ilvl w:val="0"/>
          <w:numId w:val="30"/>
        </w:numPr>
        <w:pBdr>
          <w:top w:val="nil"/>
          <w:left w:val="nil"/>
          <w:bottom w:val="nil"/>
          <w:right w:val="nil"/>
          <w:between w:val="nil"/>
        </w:pBdr>
        <w:ind w:left="360"/>
        <w:rPr>
          <w:b/>
          <w:color w:val="000000"/>
        </w:rPr>
      </w:pPr>
      <w:r w:rsidRPr="007805D9">
        <w:rPr>
          <w:b/>
          <w:color w:val="000000"/>
        </w:rPr>
        <w:t xml:space="preserve">Reduce reliance on nonrenewable energy sources such as oil and gas, and shift reliance to renewable energy sources. </w:t>
      </w:r>
    </w:p>
    <w:p w:rsidR="00C50CE0" w:rsidRPr="007805D9" w:rsidRDefault="0032395E" w:rsidP="00D72EE9">
      <w:pPr>
        <w:pStyle w:val="ListParagraph"/>
        <w:numPr>
          <w:ilvl w:val="0"/>
          <w:numId w:val="30"/>
        </w:numPr>
        <w:pBdr>
          <w:top w:val="nil"/>
          <w:left w:val="nil"/>
          <w:bottom w:val="nil"/>
          <w:right w:val="nil"/>
          <w:between w:val="nil"/>
        </w:pBdr>
        <w:ind w:left="360"/>
        <w:rPr>
          <w:b/>
          <w:color w:val="000000"/>
        </w:rPr>
      </w:pPr>
      <w:r w:rsidRPr="007805D9">
        <w:rPr>
          <w:b/>
          <w:color w:val="000000"/>
        </w:rPr>
        <w:t>Reduce emissions of greenhouse gases and substances that cause acid rain.</w:t>
      </w:r>
    </w:p>
    <w:p w:rsidR="00C50CE0" w:rsidRPr="007805D9" w:rsidRDefault="0032395E" w:rsidP="00D72EE9">
      <w:pPr>
        <w:pStyle w:val="ListParagraph"/>
        <w:numPr>
          <w:ilvl w:val="0"/>
          <w:numId w:val="30"/>
        </w:numPr>
        <w:pBdr>
          <w:top w:val="nil"/>
          <w:left w:val="nil"/>
          <w:bottom w:val="nil"/>
          <w:right w:val="nil"/>
          <w:between w:val="nil"/>
        </w:pBdr>
        <w:spacing w:after="160" w:line="259" w:lineRule="auto"/>
        <w:ind w:left="360"/>
        <w:rPr>
          <w:b/>
          <w:color w:val="000000"/>
        </w:rPr>
      </w:pPr>
      <w:r w:rsidRPr="007805D9">
        <w:rPr>
          <w:b/>
          <w:color w:val="000000"/>
        </w:rPr>
        <w:t xml:space="preserve">Reduce vehicle miles traveled per capita through reducing the amount of single occupancy vehicle (SOV) commute trips, </w:t>
      </w:r>
    </w:p>
    <w:p w:rsidR="00C50CE0" w:rsidRPr="007805D9" w:rsidRDefault="0032395E" w:rsidP="00D72EE9">
      <w:pPr>
        <w:pStyle w:val="ListParagraph"/>
        <w:numPr>
          <w:ilvl w:val="0"/>
          <w:numId w:val="30"/>
        </w:numPr>
        <w:pBdr>
          <w:top w:val="nil"/>
          <w:left w:val="nil"/>
          <w:bottom w:val="nil"/>
          <w:right w:val="nil"/>
          <w:between w:val="nil"/>
        </w:pBdr>
        <w:spacing w:after="160" w:line="259" w:lineRule="auto"/>
        <w:ind w:left="360"/>
        <w:rPr>
          <w:b/>
          <w:color w:val="000000"/>
        </w:rPr>
      </w:pPr>
      <w:r w:rsidRPr="007805D9">
        <w:rPr>
          <w:b/>
        </w:rPr>
        <w:t>Increase</w:t>
      </w:r>
      <w:r w:rsidRPr="007805D9">
        <w:rPr>
          <w:b/>
          <w:color w:val="000000"/>
        </w:rPr>
        <w:t xml:space="preserve"> the amount of pedestrian and bicycle commute trips, and increasing public transit ridership.  </w:t>
      </w:r>
    </w:p>
    <w:p w:rsidR="00C50CE0" w:rsidRDefault="0032395E">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Policies</w:t>
      </w:r>
    </w:p>
    <w:p w:rsidR="00C50CE0" w:rsidRPr="007805D9" w:rsidRDefault="0032395E" w:rsidP="00D72EE9">
      <w:pPr>
        <w:pStyle w:val="ListParagraph"/>
        <w:numPr>
          <w:ilvl w:val="0"/>
          <w:numId w:val="29"/>
        </w:numPr>
        <w:pBdr>
          <w:top w:val="nil"/>
          <w:left w:val="nil"/>
          <w:bottom w:val="nil"/>
          <w:right w:val="nil"/>
          <w:between w:val="nil"/>
        </w:pBdr>
        <w:spacing w:line="259" w:lineRule="auto"/>
        <w:ind w:left="360"/>
        <w:rPr>
          <w:color w:val="000000"/>
        </w:rPr>
      </w:pPr>
      <w:r w:rsidRPr="007805D9">
        <w:rPr>
          <w:color w:val="000000"/>
        </w:rPr>
        <w:t>Support the reduction of transportation energy demand, reduction of single-occupancy vehicle use, and the transition to renewable and lower-emission energy sources for transportation.</w:t>
      </w:r>
    </w:p>
    <w:p w:rsidR="00C50CE0" w:rsidRPr="007805D9" w:rsidRDefault="0032395E" w:rsidP="00D72EE9">
      <w:pPr>
        <w:pStyle w:val="ListParagraph"/>
        <w:numPr>
          <w:ilvl w:val="0"/>
          <w:numId w:val="29"/>
        </w:numPr>
        <w:pBdr>
          <w:top w:val="nil"/>
          <w:left w:val="nil"/>
          <w:bottom w:val="nil"/>
          <w:right w:val="nil"/>
          <w:between w:val="nil"/>
        </w:pBdr>
        <w:spacing w:line="259" w:lineRule="auto"/>
        <w:ind w:left="360"/>
        <w:rPr>
          <w:color w:val="000000"/>
        </w:rPr>
      </w:pPr>
      <w:r w:rsidRPr="007805D9">
        <w:rPr>
          <w:color w:val="000000"/>
        </w:rPr>
        <w:t xml:space="preserve">Support regional efforts to increase access to safe every day walking and cycling within and across municipal borders, including route 116 N to River Rd in </w:t>
      </w:r>
      <w:proofErr w:type="spellStart"/>
      <w:r w:rsidRPr="007805D9">
        <w:rPr>
          <w:color w:val="000000"/>
        </w:rPr>
        <w:t>Rockydale</w:t>
      </w:r>
      <w:proofErr w:type="spellEnd"/>
      <w:r w:rsidRPr="007805D9">
        <w:rPr>
          <w:color w:val="000000"/>
        </w:rPr>
        <w:t xml:space="preserve"> and Plank Rd to New Haven's North Street.</w:t>
      </w:r>
    </w:p>
    <w:p w:rsidR="00C50CE0" w:rsidRPr="007805D9" w:rsidRDefault="0032395E" w:rsidP="00D72EE9">
      <w:pPr>
        <w:pStyle w:val="ListParagraph"/>
        <w:numPr>
          <w:ilvl w:val="0"/>
          <w:numId w:val="29"/>
        </w:numPr>
        <w:pBdr>
          <w:top w:val="nil"/>
          <w:left w:val="nil"/>
          <w:bottom w:val="nil"/>
          <w:right w:val="nil"/>
          <w:between w:val="nil"/>
        </w:pBdr>
        <w:tabs>
          <w:tab w:val="left" w:pos="360"/>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right="900"/>
        <w:rPr>
          <w:color w:val="000000"/>
        </w:rPr>
      </w:pPr>
      <w:r w:rsidRPr="007805D9">
        <w:rPr>
          <w:color w:val="000000"/>
        </w:rPr>
        <w:t xml:space="preserve">Provide walking and biking paths in </w:t>
      </w:r>
      <w:r>
        <w:t>the village and town, especially in any new</w:t>
      </w:r>
      <w:r w:rsidRPr="007805D9">
        <w:rPr>
          <w:color w:val="000000"/>
        </w:rPr>
        <w:t xml:space="preserve"> developments.</w:t>
      </w:r>
    </w:p>
    <w:p w:rsidR="00C50CE0" w:rsidRPr="007805D9" w:rsidRDefault="0032395E" w:rsidP="00D72EE9">
      <w:pPr>
        <w:pStyle w:val="ListParagraph"/>
        <w:numPr>
          <w:ilvl w:val="0"/>
          <w:numId w:val="29"/>
        </w:numPr>
        <w:pBdr>
          <w:top w:val="nil"/>
          <w:left w:val="nil"/>
          <w:bottom w:val="nil"/>
          <w:right w:val="nil"/>
          <w:between w:val="nil"/>
        </w:pBdr>
        <w:tabs>
          <w:tab w:val="left" w:pos="360"/>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right="900"/>
        <w:rPr>
          <w:color w:val="000000"/>
        </w:rPr>
      </w:pPr>
      <w:r w:rsidRPr="007805D9">
        <w:rPr>
          <w:color w:val="000000"/>
        </w:rPr>
        <w:t>Support state and regional public transportation programs serving Bristol and ask major employers wishing to construct or expand businesses in the region to promote energy efficient commuting.</w:t>
      </w:r>
    </w:p>
    <w:p w:rsidR="00C50CE0" w:rsidRPr="007805D9" w:rsidRDefault="0032395E" w:rsidP="00D72EE9">
      <w:pPr>
        <w:pStyle w:val="ListParagraph"/>
        <w:numPr>
          <w:ilvl w:val="0"/>
          <w:numId w:val="29"/>
        </w:numPr>
        <w:pBdr>
          <w:top w:val="nil"/>
          <w:left w:val="nil"/>
          <w:bottom w:val="nil"/>
          <w:right w:val="nil"/>
          <w:between w:val="nil"/>
        </w:pBdr>
        <w:tabs>
          <w:tab w:val="left" w:pos="360"/>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right="900"/>
        <w:rPr>
          <w:color w:val="000000"/>
        </w:rPr>
      </w:pPr>
      <w:r w:rsidRPr="007805D9">
        <w:rPr>
          <w:color w:val="000000"/>
        </w:rPr>
        <w:t xml:space="preserve">Support </w:t>
      </w:r>
      <w:r>
        <w:t>a</w:t>
      </w:r>
      <w:r w:rsidRPr="007805D9">
        <w:rPr>
          <w:color w:val="000000"/>
        </w:rPr>
        <w:t xml:space="preserve"> Park and Ride in Bristol </w:t>
      </w:r>
      <w:r>
        <w:t>a</w:t>
      </w:r>
      <w:r w:rsidRPr="007805D9">
        <w:rPr>
          <w:color w:val="000000"/>
        </w:rPr>
        <w:t>nd encourage residents to consider using ride-sharing programs in order to reduce the use of fossil fuels.</w:t>
      </w:r>
    </w:p>
    <w:p w:rsidR="00C50CE0" w:rsidRDefault="0032395E">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Recommended Actions</w:t>
      </w:r>
    </w:p>
    <w:p w:rsidR="00C50CE0" w:rsidRPr="007805D9" w:rsidRDefault="0032395E" w:rsidP="00D72EE9">
      <w:pPr>
        <w:pStyle w:val="ListParagraph"/>
        <w:numPr>
          <w:ilvl w:val="0"/>
          <w:numId w:val="28"/>
        </w:numPr>
        <w:pBdr>
          <w:top w:val="nil"/>
          <w:left w:val="nil"/>
          <w:bottom w:val="nil"/>
          <w:right w:val="nil"/>
          <w:between w:val="nil"/>
        </w:pBdr>
        <w:spacing w:line="259" w:lineRule="auto"/>
        <w:ind w:left="360"/>
        <w:rPr>
          <w:color w:val="000000"/>
        </w:rPr>
      </w:pPr>
      <w:r w:rsidRPr="007805D9">
        <w:rPr>
          <w:color w:val="000000"/>
        </w:rPr>
        <w:t xml:space="preserve">Work with ACTR to </w:t>
      </w:r>
      <w:r>
        <w:t>understand the ways</w:t>
      </w:r>
      <w:r w:rsidRPr="007805D9">
        <w:rPr>
          <w:color w:val="000000"/>
        </w:rPr>
        <w:t xml:space="preserve"> in which service to Bristol could be improved.  </w:t>
      </w:r>
    </w:p>
    <w:p w:rsidR="00C50CE0" w:rsidRPr="007805D9" w:rsidRDefault="0032395E" w:rsidP="00D72EE9">
      <w:pPr>
        <w:pStyle w:val="ListParagraph"/>
        <w:numPr>
          <w:ilvl w:val="0"/>
          <w:numId w:val="28"/>
        </w:numPr>
        <w:pBdr>
          <w:top w:val="nil"/>
          <w:left w:val="nil"/>
          <w:bottom w:val="nil"/>
          <w:right w:val="nil"/>
          <w:between w:val="nil"/>
        </w:pBdr>
        <w:spacing w:line="259" w:lineRule="auto"/>
        <w:ind w:left="360"/>
        <w:rPr>
          <w:color w:val="000000"/>
        </w:rPr>
      </w:pPr>
      <w:r w:rsidRPr="007805D9">
        <w:rPr>
          <w:color w:val="000000"/>
        </w:rPr>
        <w:t xml:space="preserve">Plan for and install electric vehicle charging infrastructure on municipal property.  </w:t>
      </w:r>
    </w:p>
    <w:p w:rsidR="00C50CE0" w:rsidRPr="007805D9" w:rsidRDefault="0032395E" w:rsidP="00D72EE9">
      <w:pPr>
        <w:pStyle w:val="ListParagraph"/>
        <w:numPr>
          <w:ilvl w:val="0"/>
          <w:numId w:val="28"/>
        </w:numPr>
        <w:pBdr>
          <w:top w:val="nil"/>
          <w:left w:val="nil"/>
          <w:bottom w:val="nil"/>
          <w:right w:val="nil"/>
          <w:between w:val="nil"/>
        </w:pBdr>
        <w:spacing w:line="259" w:lineRule="auto"/>
        <w:ind w:left="360"/>
        <w:rPr>
          <w:color w:val="000000"/>
        </w:rPr>
      </w:pPr>
      <w:r w:rsidRPr="007805D9">
        <w:rPr>
          <w:color w:val="000000"/>
        </w:rPr>
        <w:t xml:space="preserve">Review municipal road standards to ensure that they reflect all </w:t>
      </w:r>
      <w:r w:rsidRPr="007805D9">
        <w:rPr>
          <w:rFonts w:ascii="Calibri" w:eastAsia="Calibri" w:hAnsi="Calibri" w:cs="Calibri"/>
          <w:color w:val="000000"/>
        </w:rPr>
        <w:t>“</w:t>
      </w:r>
      <w:r w:rsidRPr="007805D9">
        <w:rPr>
          <w:color w:val="000000"/>
        </w:rPr>
        <w:t>complete streets</w:t>
      </w:r>
      <w:r w:rsidRPr="007805D9">
        <w:rPr>
          <w:rFonts w:ascii="Calibri" w:eastAsia="Calibri" w:hAnsi="Calibri" w:cs="Calibri"/>
          <w:color w:val="000000"/>
        </w:rPr>
        <w:t xml:space="preserve">” </w:t>
      </w:r>
      <w:r w:rsidRPr="007805D9">
        <w:rPr>
          <w:color w:val="000000"/>
        </w:rPr>
        <w:t xml:space="preserve">principles applicable to our village and rural roads </w:t>
      </w:r>
      <w:r>
        <w:t>in order</w:t>
      </w:r>
      <w:r w:rsidRPr="007805D9">
        <w:rPr>
          <w:color w:val="000000"/>
        </w:rPr>
        <w:t xml:space="preserve"> to enable safe access for all users, including pedestrians, bicyclists, motorists and transit riders of all ages and abilities.</w:t>
      </w:r>
    </w:p>
    <w:p w:rsidR="007805D9" w:rsidRDefault="0032395E" w:rsidP="00D72EE9">
      <w:pPr>
        <w:pStyle w:val="ListParagraph"/>
        <w:numPr>
          <w:ilvl w:val="0"/>
          <w:numId w:val="28"/>
        </w:numPr>
        <w:pBdr>
          <w:top w:val="nil"/>
          <w:left w:val="nil"/>
          <w:bottom w:val="nil"/>
          <w:right w:val="nil"/>
          <w:between w:val="nil"/>
        </w:pBdr>
        <w:spacing w:line="259" w:lineRule="auto"/>
        <w:ind w:left="360"/>
        <w:rPr>
          <w:color w:val="000000"/>
        </w:rPr>
      </w:pPr>
      <w:r w:rsidRPr="007805D9">
        <w:rPr>
          <w:color w:val="000000"/>
        </w:rPr>
        <w:t xml:space="preserve">Nominate a Bristol representative to sit on the </w:t>
      </w:r>
      <w:r w:rsidRPr="007805D9">
        <w:rPr>
          <w:i/>
          <w:color w:val="000000"/>
        </w:rPr>
        <w:t>Walk-Bike Council of Addison County</w:t>
      </w:r>
      <w:r w:rsidRPr="007805D9">
        <w:rPr>
          <w:color w:val="000000"/>
        </w:rPr>
        <w:t xml:space="preserve"> to foster safe and accessible opportunities for walking and cycling as an alternative </w:t>
      </w:r>
      <w:r>
        <w:t>to single occupancy vehicles</w:t>
      </w:r>
      <w:r w:rsidRPr="007805D9">
        <w:rPr>
          <w:color w:val="000000"/>
        </w:rPr>
        <w:t xml:space="preserve">.  </w:t>
      </w:r>
    </w:p>
    <w:p w:rsidR="007805D9" w:rsidRDefault="0032395E" w:rsidP="00D72EE9">
      <w:pPr>
        <w:pStyle w:val="ListParagraph"/>
        <w:numPr>
          <w:ilvl w:val="0"/>
          <w:numId w:val="28"/>
        </w:numPr>
        <w:pBdr>
          <w:top w:val="nil"/>
          <w:left w:val="nil"/>
          <w:bottom w:val="nil"/>
          <w:right w:val="nil"/>
          <w:between w:val="nil"/>
        </w:pBdr>
        <w:spacing w:line="259" w:lineRule="auto"/>
        <w:ind w:left="360"/>
        <w:rPr>
          <w:color w:val="000000"/>
        </w:rPr>
      </w:pPr>
      <w:r w:rsidRPr="007805D9">
        <w:rPr>
          <w:color w:val="000000"/>
        </w:rPr>
        <w:t>Incorporate EV ready standards into building code.</w:t>
      </w:r>
    </w:p>
    <w:p w:rsidR="00C50CE0" w:rsidRPr="007805D9" w:rsidRDefault="0032395E" w:rsidP="00D72EE9">
      <w:pPr>
        <w:pStyle w:val="ListParagraph"/>
        <w:numPr>
          <w:ilvl w:val="0"/>
          <w:numId w:val="28"/>
        </w:numPr>
        <w:pBdr>
          <w:top w:val="nil"/>
          <w:left w:val="nil"/>
          <w:bottom w:val="nil"/>
          <w:right w:val="nil"/>
          <w:between w:val="nil"/>
        </w:pBdr>
        <w:spacing w:line="259" w:lineRule="auto"/>
        <w:ind w:left="360"/>
        <w:rPr>
          <w:color w:val="000000"/>
        </w:rPr>
      </w:pPr>
      <w:r>
        <w:t>Support and educate citizens about Vermont’s motor idling law (23 V.S.A. § 1110)</w:t>
      </w:r>
      <w:r>
        <w:br w:type="page"/>
      </w:r>
    </w:p>
    <w:p w:rsidR="00C50CE0" w:rsidRDefault="00C50CE0">
      <w:pPr>
        <w:pBdr>
          <w:top w:val="nil"/>
          <w:left w:val="nil"/>
          <w:bottom w:val="nil"/>
          <w:right w:val="nil"/>
          <w:between w:val="nil"/>
        </w:pBdr>
        <w:spacing w:line="259" w:lineRule="auto"/>
        <w:ind w:left="330"/>
        <w:rPr>
          <w:color w:val="000000"/>
        </w:rPr>
      </w:pPr>
    </w:p>
    <w:p w:rsidR="00C50CE0" w:rsidRDefault="0032395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Land Use, Generation and Transmission Analysis</w:t>
      </w:r>
    </w:p>
    <w:p w:rsidR="00C50CE0" w:rsidRDefault="0032395E">
      <w:pPr>
        <w:pBdr>
          <w:top w:val="nil"/>
          <w:left w:val="nil"/>
          <w:bottom w:val="nil"/>
          <w:right w:val="nil"/>
          <w:between w:val="nil"/>
        </w:pBdr>
        <w:rPr>
          <w:color w:val="000000"/>
        </w:rPr>
      </w:pPr>
      <w:r>
        <w:rPr>
          <w:b/>
          <w:color w:val="548DD4"/>
        </w:rPr>
        <w:t>Land Use</w:t>
      </w:r>
    </w:p>
    <w:p w:rsidR="00C50CE0" w:rsidRDefault="006A5023">
      <w:pPr>
        <w:pBdr>
          <w:top w:val="nil"/>
          <w:left w:val="nil"/>
          <w:bottom w:val="nil"/>
          <w:right w:val="nil"/>
          <w:between w:val="nil"/>
        </w:pBdr>
        <w:rPr>
          <w:color w:val="000000"/>
        </w:rPr>
      </w:pPr>
      <w:r>
        <w:rPr>
          <w:color w:val="000000"/>
        </w:rPr>
        <w:t>The town of Bristol is composed of a compact village area nestled in the gap between two mountains, with a mix of agricultural and forested land to the west and heavily forested land in the mountains to the west. B</w:t>
      </w:r>
      <w:r w:rsidR="0032395E">
        <w:rPr>
          <w:color w:val="000000"/>
        </w:rPr>
        <w:t xml:space="preserve">ecause of its existing settlement patterns and lack of a significant number of commercial or industrial facilities, Bristol residents are </w:t>
      </w:r>
      <w:r>
        <w:rPr>
          <w:color w:val="000000"/>
        </w:rPr>
        <w:t>as</w:t>
      </w:r>
      <w:r w:rsidR="0032395E">
        <w:rPr>
          <w:color w:val="000000"/>
        </w:rPr>
        <w:t xml:space="preserve"> dependent on their cars, and the </w:t>
      </w:r>
      <w:r>
        <w:rPr>
          <w:color w:val="000000"/>
        </w:rPr>
        <w:t>fuel</w:t>
      </w:r>
      <w:r w:rsidR="0032395E">
        <w:rPr>
          <w:color w:val="000000"/>
        </w:rPr>
        <w:t xml:space="preserve"> they use, </w:t>
      </w:r>
      <w:r>
        <w:rPr>
          <w:color w:val="000000"/>
        </w:rPr>
        <w:t>as most other</w:t>
      </w:r>
      <w:r w:rsidR="0032395E">
        <w:rPr>
          <w:color w:val="000000"/>
        </w:rPr>
        <w:t xml:space="preserve"> Vermont towns. While Bristol desires to retain its rural feel, it can adopt land use policies that encourage more densely settled areas that have the capacity to allow for more transportation alternatives within those areas, potentially saving energy and promoting healthier options, like walking or biking. As with other conservation</w:t>
      </w:r>
      <w:r w:rsidR="0032395E">
        <w:t xml:space="preserve"> </w:t>
      </w:r>
      <w:r w:rsidR="0032395E">
        <w:rPr>
          <w:color w:val="000000"/>
        </w:rPr>
        <w:t>goals, conserving energy by reducing the overa</w:t>
      </w:r>
      <w:r w:rsidR="0032395E">
        <w:t xml:space="preserve">ll </w:t>
      </w:r>
      <w:r w:rsidR="0032395E">
        <w:rPr>
          <w:color w:val="000000"/>
        </w:rPr>
        <w:t>need for car</w:t>
      </w:r>
      <w:r w:rsidR="0032395E">
        <w:t xml:space="preserve"> transportation</w:t>
      </w:r>
      <w:r w:rsidR="0032395E">
        <w:rPr>
          <w:color w:val="000000"/>
        </w:rPr>
        <w:t xml:space="preserve"> can be more cost effective for Bristol</w:t>
      </w:r>
      <w:r w:rsidR="0032395E">
        <w:rPr>
          <w:rFonts w:ascii="Calibri" w:eastAsia="Calibri" w:hAnsi="Calibri" w:cs="Calibri"/>
          <w:color w:val="000000"/>
        </w:rPr>
        <w:t>’</w:t>
      </w:r>
      <w:r w:rsidR="0032395E">
        <w:rPr>
          <w:color w:val="000000"/>
        </w:rPr>
        <w:t>s citizens than fuel-switching to electric vehicles discussed in the previous chapter. Therefore, the Land Use Section of this Plan promotes greater density and housing options in Bristol</w:t>
      </w:r>
      <w:r w:rsidR="0032395E">
        <w:rPr>
          <w:rFonts w:ascii="Calibri" w:eastAsia="Calibri" w:hAnsi="Calibri" w:cs="Calibri"/>
          <w:color w:val="000000"/>
        </w:rPr>
        <w:t>’</w:t>
      </w:r>
      <w:r w:rsidR="0032395E">
        <w:rPr>
          <w:color w:val="000000"/>
        </w:rPr>
        <w:t xml:space="preserve">s downtown village area. Other Land Use policies to </w:t>
      </w:r>
      <w:r w:rsidR="0032395E">
        <w:t xml:space="preserve">guide </w:t>
      </w:r>
      <w:r w:rsidR="0032395E">
        <w:rPr>
          <w:color w:val="000000"/>
        </w:rPr>
        <w:t>energy use are listed in the Policy Section below.</w:t>
      </w:r>
    </w:p>
    <w:p w:rsidR="00C50CE0" w:rsidRDefault="00C50CE0">
      <w:pPr>
        <w:pBdr>
          <w:top w:val="nil"/>
          <w:left w:val="nil"/>
          <w:bottom w:val="nil"/>
          <w:right w:val="nil"/>
          <w:between w:val="nil"/>
        </w:pBdr>
        <w:rPr>
          <w:b/>
          <w:color w:val="4F81BD"/>
        </w:rPr>
      </w:pPr>
    </w:p>
    <w:p w:rsidR="00C50CE0" w:rsidRDefault="0032395E">
      <w:pPr>
        <w:pBdr>
          <w:top w:val="nil"/>
          <w:left w:val="nil"/>
          <w:bottom w:val="nil"/>
          <w:right w:val="nil"/>
          <w:between w:val="nil"/>
        </w:pBdr>
        <w:rPr>
          <w:b/>
          <w:color w:val="4F81BD"/>
        </w:rPr>
      </w:pPr>
      <w:r>
        <w:rPr>
          <w:b/>
          <w:color w:val="4F81BD"/>
        </w:rPr>
        <w:t>Generation</w:t>
      </w:r>
    </w:p>
    <w:p w:rsidR="00C50CE0" w:rsidRDefault="0032395E">
      <w:pPr>
        <w:pBdr>
          <w:top w:val="nil"/>
          <w:left w:val="nil"/>
          <w:bottom w:val="nil"/>
          <w:right w:val="nil"/>
          <w:between w:val="nil"/>
        </w:pBdr>
        <w:rPr>
          <w:b/>
          <w:color w:val="4F81BD"/>
        </w:rPr>
      </w:pPr>
      <w:r>
        <w:rPr>
          <w:b/>
          <w:color w:val="4F81BD"/>
        </w:rPr>
        <w:t xml:space="preserve">Current Energy Generation </w:t>
      </w:r>
    </w:p>
    <w:p w:rsidR="00C50CE0" w:rsidRDefault="0032395E">
      <w:pPr>
        <w:pBdr>
          <w:top w:val="nil"/>
          <w:left w:val="nil"/>
          <w:bottom w:val="nil"/>
          <w:right w:val="nil"/>
          <w:between w:val="nil"/>
        </w:pBdr>
        <w:rPr>
          <w:color w:val="000000"/>
        </w:rPr>
      </w:pPr>
      <w:r>
        <w:rPr>
          <w:color w:val="000000"/>
        </w:rPr>
        <w:t>Although Bristol</w:t>
      </w:r>
      <w:r>
        <w:rPr>
          <w:rFonts w:ascii="Calibri" w:eastAsia="Calibri" w:hAnsi="Calibri" w:cs="Calibri"/>
          <w:color w:val="000000"/>
        </w:rPr>
        <w:t>’</w:t>
      </w:r>
      <w:r>
        <w:rPr>
          <w:color w:val="000000"/>
        </w:rPr>
        <w:t>s energy supply is largely consistent with statewide patterns, Bristol does have a number of alternative energy installations that tap local energy resources (Table 8).  A growing number of homes have photovoltaic systems that supply a portion of their electrical energy.  Thanks to Vermont</w:t>
      </w:r>
      <w:r>
        <w:rPr>
          <w:rFonts w:ascii="Calibri" w:eastAsia="Calibri" w:hAnsi="Calibri" w:cs="Calibri"/>
          <w:color w:val="000000"/>
        </w:rPr>
        <w:t>’</w:t>
      </w:r>
      <w:r>
        <w:rPr>
          <w:color w:val="000000"/>
        </w:rPr>
        <w:t xml:space="preserve">s net-metering law, owners of these systems can sell excess power back to the grid during periods of high solar production, and purchase grid power when needed.  Thus, the grid serves as a kind of storage system for solar-produced electrical energy.   </w:t>
      </w:r>
    </w:p>
    <w:p w:rsidR="00C50CE0" w:rsidRDefault="00C50CE0">
      <w:pPr>
        <w:pBdr>
          <w:top w:val="nil"/>
          <w:left w:val="nil"/>
          <w:bottom w:val="nil"/>
          <w:right w:val="nil"/>
          <w:between w:val="nil"/>
        </w:pBdr>
        <w:rPr>
          <w:color w:val="000000"/>
        </w:rPr>
      </w:pPr>
    </w:p>
    <w:p w:rsidR="00C50CE0" w:rsidRDefault="0032395E">
      <w:pPr>
        <w:rPr>
          <w:color w:val="000000"/>
        </w:rPr>
      </w:pPr>
      <w:r>
        <w:t>As Table 8A illustrates, 114 different sites create most of the documented renewable solar power within Bristol.</w:t>
      </w:r>
    </w:p>
    <w:tbl>
      <w:tblPr>
        <w:tblStyle w:val="a8"/>
        <w:tblW w:w="932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3096"/>
        <w:gridCol w:w="885"/>
        <w:gridCol w:w="1350"/>
        <w:gridCol w:w="1275"/>
        <w:gridCol w:w="1305"/>
        <w:gridCol w:w="1414"/>
      </w:tblGrid>
      <w:tr w:rsidR="00C50CE0">
        <w:trPr>
          <w:trHeight w:val="600"/>
        </w:trPr>
        <w:tc>
          <w:tcPr>
            <w:tcW w:w="9324" w:type="dxa"/>
            <w:gridSpan w:val="6"/>
            <w:tcBorders>
              <w:top w:val="single" w:sz="8" w:space="0" w:color="000000"/>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jc w:val="center"/>
              <w:rPr>
                <w:b/>
              </w:rPr>
            </w:pPr>
            <w:r>
              <w:rPr>
                <w:b/>
              </w:rPr>
              <w:t>Table 8A. Existing Renewable Generation</w:t>
            </w:r>
          </w:p>
        </w:tc>
      </w:tr>
      <w:tr w:rsidR="00C50CE0">
        <w:trPr>
          <w:trHeight w:val="600"/>
        </w:trPr>
        <w:tc>
          <w:tcPr>
            <w:tcW w:w="3095" w:type="dxa"/>
            <w:tcBorders>
              <w:top w:val="single" w:sz="8" w:space="0" w:color="000000"/>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C50CE0">
            <w:pPr>
              <w:rPr>
                <w:rFonts w:ascii="Calibri" w:eastAsia="Calibri" w:hAnsi="Calibri" w:cs="Calibri"/>
                <w:sz w:val="22"/>
                <w:szCs w:val="22"/>
              </w:rPr>
            </w:pPr>
          </w:p>
          <w:p w:rsidR="00C50CE0" w:rsidRDefault="0032395E">
            <w:pPr>
              <w:pBdr>
                <w:top w:val="nil"/>
                <w:left w:val="nil"/>
                <w:bottom w:val="nil"/>
                <w:right w:val="nil"/>
                <w:between w:val="nil"/>
              </w:pBdr>
              <w:rPr>
                <w:b/>
                <w:color w:val="000000"/>
                <w:sz w:val="22"/>
                <w:szCs w:val="22"/>
              </w:rPr>
            </w:pPr>
            <w:r>
              <w:rPr>
                <w:b/>
                <w:sz w:val="22"/>
                <w:szCs w:val="22"/>
              </w:rPr>
              <w:t>Type</w:t>
            </w:r>
          </w:p>
        </w:tc>
        <w:tc>
          <w:tcPr>
            <w:tcW w:w="885" w:type="dxa"/>
            <w:tcBorders>
              <w:top w:val="single" w:sz="8" w:space="0" w:color="000000"/>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sz w:val="22"/>
                <w:szCs w:val="22"/>
              </w:rPr>
            </w:pPr>
            <w:r>
              <w:rPr>
                <w:b/>
              </w:rPr>
              <w:t>Sites</w:t>
            </w:r>
          </w:p>
        </w:tc>
        <w:tc>
          <w:tcPr>
            <w:tcW w:w="135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jc w:val="center"/>
              <w:rPr>
                <w:rFonts w:ascii="Calibri" w:eastAsia="Calibri" w:hAnsi="Calibri" w:cs="Calibri"/>
                <w:sz w:val="22"/>
                <w:szCs w:val="22"/>
              </w:rPr>
            </w:pPr>
            <w:r>
              <w:rPr>
                <w:b/>
                <w:sz w:val="22"/>
                <w:szCs w:val="22"/>
              </w:rPr>
              <w:t>Total Generation (kW)</w:t>
            </w:r>
          </w:p>
        </w:tc>
        <w:tc>
          <w:tcPr>
            <w:tcW w:w="1275"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rPr>
                <w:rFonts w:ascii="Calibri" w:eastAsia="Calibri" w:hAnsi="Calibri" w:cs="Calibri"/>
                <w:sz w:val="22"/>
                <w:szCs w:val="22"/>
              </w:rPr>
            </w:pPr>
            <w:r>
              <w:rPr>
                <w:b/>
                <w:sz w:val="22"/>
                <w:szCs w:val="22"/>
              </w:rPr>
              <w:t>Total Generation (kWh/year)</w:t>
            </w:r>
          </w:p>
        </w:tc>
        <w:tc>
          <w:tcPr>
            <w:tcW w:w="1305"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rPr>
                <w:b/>
                <w:sz w:val="22"/>
                <w:szCs w:val="22"/>
              </w:rPr>
            </w:pPr>
            <w:r>
              <w:rPr>
                <w:b/>
                <w:sz w:val="22"/>
                <w:szCs w:val="22"/>
              </w:rPr>
              <w:t>Capacity installed since 2016 (kW)</w:t>
            </w:r>
          </w:p>
        </w:tc>
        <w:tc>
          <w:tcPr>
            <w:tcW w:w="1414"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rPr>
                <w:b/>
                <w:sz w:val="22"/>
                <w:szCs w:val="22"/>
              </w:rPr>
            </w:pPr>
            <w:r>
              <w:rPr>
                <w:b/>
                <w:sz w:val="22"/>
                <w:szCs w:val="22"/>
              </w:rPr>
              <w:t>Additional Generation since 2016 (MWh/year)</w:t>
            </w:r>
          </w:p>
        </w:tc>
      </w:tr>
      <w:tr w:rsidR="00C50CE0">
        <w:trPr>
          <w:trHeight w:val="300"/>
        </w:trPr>
        <w:tc>
          <w:tcPr>
            <w:tcW w:w="3095" w:type="dxa"/>
            <w:tcBorders>
              <w:top w:val="single" w:sz="4" w:space="0" w:color="FFFFFF"/>
              <w:left w:val="nil"/>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 xml:space="preserve">Solar </w:t>
            </w:r>
          </w:p>
        </w:tc>
        <w:tc>
          <w:tcPr>
            <w:tcW w:w="885"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11</w:t>
            </w:r>
            <w:r>
              <w:t>2</w:t>
            </w:r>
          </w:p>
        </w:tc>
        <w:tc>
          <w:tcPr>
            <w:tcW w:w="135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w:t>
            </w:r>
            <w:r>
              <w:t>,</w:t>
            </w:r>
            <w:r>
              <w:rPr>
                <w:color w:val="000000"/>
              </w:rPr>
              <w:t>222.56</w:t>
            </w:r>
          </w:p>
        </w:tc>
        <w:tc>
          <w:tcPr>
            <w:tcW w:w="1275"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jc w:val="right"/>
              <w:rPr>
                <w:color w:val="000000"/>
              </w:rPr>
            </w:pPr>
            <w:r>
              <w:t>1,499,347</w:t>
            </w:r>
          </w:p>
        </w:tc>
        <w:tc>
          <w:tcPr>
            <w:tcW w:w="1305"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jc w:val="right"/>
              <w:rPr>
                <w:rFonts w:ascii="Calibri" w:eastAsia="Calibri" w:hAnsi="Calibri" w:cs="Calibri"/>
                <w:color w:val="000000"/>
                <w:sz w:val="22"/>
                <w:szCs w:val="22"/>
              </w:rPr>
            </w:pPr>
            <w:r>
              <w:t>154.21</w:t>
            </w:r>
          </w:p>
        </w:tc>
        <w:tc>
          <w:tcPr>
            <w:tcW w:w="1414"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jc w:val="right"/>
              <w:rPr>
                <w:rFonts w:ascii="Calibri" w:eastAsia="Calibri" w:hAnsi="Calibri" w:cs="Calibri"/>
                <w:color w:val="000000"/>
                <w:sz w:val="22"/>
                <w:szCs w:val="22"/>
              </w:rPr>
            </w:pPr>
            <w:r>
              <w:t>189,123.1</w:t>
            </w:r>
          </w:p>
        </w:tc>
      </w:tr>
      <w:tr w:rsidR="00C50CE0">
        <w:trPr>
          <w:trHeight w:val="300"/>
        </w:trPr>
        <w:tc>
          <w:tcPr>
            <w:tcW w:w="3095" w:type="dxa"/>
            <w:tcBorders>
              <w:top w:val="single" w:sz="4" w:space="0" w:color="FFFFFF"/>
              <w:left w:val="nil"/>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Wind</w:t>
            </w:r>
          </w:p>
        </w:tc>
        <w:tc>
          <w:tcPr>
            <w:tcW w:w="885"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0</w:t>
            </w:r>
          </w:p>
        </w:tc>
        <w:tc>
          <w:tcPr>
            <w:tcW w:w="135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0</w:t>
            </w:r>
          </w:p>
        </w:tc>
        <w:tc>
          <w:tcPr>
            <w:tcW w:w="1275"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0</w:t>
            </w:r>
          </w:p>
        </w:tc>
        <w:tc>
          <w:tcPr>
            <w:tcW w:w="1305"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pPr>
            <w:r>
              <w:t>0</w:t>
            </w:r>
          </w:p>
        </w:tc>
        <w:tc>
          <w:tcPr>
            <w:tcW w:w="1414"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0</w:t>
            </w:r>
          </w:p>
        </w:tc>
      </w:tr>
      <w:tr w:rsidR="00C50CE0">
        <w:trPr>
          <w:trHeight w:val="300"/>
        </w:trPr>
        <w:tc>
          <w:tcPr>
            <w:tcW w:w="3095" w:type="dxa"/>
            <w:tcBorders>
              <w:top w:val="single" w:sz="4" w:space="0" w:color="FFFFFF"/>
              <w:left w:val="nil"/>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Hydro</w:t>
            </w:r>
          </w:p>
        </w:tc>
        <w:tc>
          <w:tcPr>
            <w:tcW w:w="885"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0</w:t>
            </w:r>
          </w:p>
        </w:tc>
        <w:tc>
          <w:tcPr>
            <w:tcW w:w="135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0</w:t>
            </w:r>
          </w:p>
        </w:tc>
        <w:tc>
          <w:tcPr>
            <w:tcW w:w="1275"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0</w:t>
            </w:r>
          </w:p>
        </w:tc>
        <w:tc>
          <w:tcPr>
            <w:tcW w:w="1305"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pPr>
            <w:r>
              <w:t>0</w:t>
            </w:r>
          </w:p>
        </w:tc>
        <w:tc>
          <w:tcPr>
            <w:tcW w:w="1414"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0</w:t>
            </w:r>
          </w:p>
        </w:tc>
      </w:tr>
      <w:tr w:rsidR="00C50CE0">
        <w:trPr>
          <w:trHeight w:val="300"/>
        </w:trPr>
        <w:tc>
          <w:tcPr>
            <w:tcW w:w="3095" w:type="dxa"/>
            <w:tcBorders>
              <w:top w:val="single" w:sz="4" w:space="0" w:color="FFFFFF"/>
              <w:left w:val="nil"/>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Biomass</w:t>
            </w:r>
          </w:p>
        </w:tc>
        <w:tc>
          <w:tcPr>
            <w:tcW w:w="885"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2</w:t>
            </w:r>
          </w:p>
        </w:tc>
        <w:tc>
          <w:tcPr>
            <w:tcW w:w="135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450</w:t>
            </w:r>
          </w:p>
        </w:tc>
        <w:tc>
          <w:tcPr>
            <w:tcW w:w="1275"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jc w:val="right"/>
              <w:rPr>
                <w:rFonts w:ascii="Calibri" w:eastAsia="Calibri" w:hAnsi="Calibri" w:cs="Calibri"/>
                <w:sz w:val="22"/>
                <w:szCs w:val="22"/>
              </w:rPr>
            </w:pPr>
            <w:r>
              <w:t>1,840,914</w:t>
            </w:r>
          </w:p>
        </w:tc>
        <w:tc>
          <w:tcPr>
            <w:tcW w:w="1305"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0</w:t>
            </w:r>
          </w:p>
        </w:tc>
        <w:tc>
          <w:tcPr>
            <w:tcW w:w="1414"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0</w:t>
            </w:r>
          </w:p>
        </w:tc>
      </w:tr>
      <w:tr w:rsidR="00C50CE0">
        <w:trPr>
          <w:trHeight w:val="280"/>
        </w:trPr>
        <w:tc>
          <w:tcPr>
            <w:tcW w:w="3095" w:type="dxa"/>
            <w:tcBorders>
              <w:top w:val="single" w:sz="4" w:space="0" w:color="FFFFFF"/>
              <w:left w:val="nil"/>
              <w:bottom w:val="nil"/>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rPr>
              <w:t>Total Existing Generation</w:t>
            </w:r>
          </w:p>
        </w:tc>
        <w:tc>
          <w:tcPr>
            <w:tcW w:w="885" w:type="dxa"/>
            <w:tcBorders>
              <w:top w:val="single" w:sz="4" w:space="0" w:color="FFFFFF"/>
              <w:left w:val="single" w:sz="4" w:space="0" w:color="FFFFFF"/>
              <w:bottom w:val="nil"/>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114</w:t>
            </w:r>
          </w:p>
        </w:tc>
        <w:tc>
          <w:tcPr>
            <w:tcW w:w="1350" w:type="dxa"/>
            <w:tcBorders>
              <w:top w:val="single" w:sz="4" w:space="0" w:color="FFFFFF"/>
              <w:left w:val="single" w:sz="4" w:space="0" w:color="FFFFFF"/>
              <w:bottom w:val="nil"/>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w:t>
            </w:r>
            <w:r>
              <w:t>,</w:t>
            </w:r>
            <w:r>
              <w:rPr>
                <w:color w:val="000000"/>
              </w:rPr>
              <w:t>6</w:t>
            </w:r>
            <w:r>
              <w:t>72.56</w:t>
            </w:r>
          </w:p>
        </w:tc>
        <w:tc>
          <w:tcPr>
            <w:tcW w:w="1275" w:type="dxa"/>
            <w:tcBorders>
              <w:top w:val="single" w:sz="4" w:space="0" w:color="FFFFFF"/>
              <w:left w:val="single" w:sz="4" w:space="0" w:color="FFFFFF"/>
              <w:bottom w:val="nil"/>
              <w:right w:val="nil"/>
            </w:tcBorders>
            <w:shd w:val="clear" w:color="auto" w:fill="DCE6F1"/>
            <w:tcMar>
              <w:top w:w="80" w:type="dxa"/>
              <w:left w:w="80" w:type="dxa"/>
              <w:bottom w:w="80" w:type="dxa"/>
              <w:right w:w="80" w:type="dxa"/>
            </w:tcMar>
            <w:vAlign w:val="bottom"/>
          </w:tcPr>
          <w:p w:rsidR="00C50CE0" w:rsidRDefault="0032395E">
            <w:pPr>
              <w:jc w:val="right"/>
              <w:rPr>
                <w:color w:val="000000"/>
              </w:rPr>
            </w:pPr>
            <w:r>
              <w:t>3,340,261</w:t>
            </w:r>
          </w:p>
        </w:tc>
        <w:tc>
          <w:tcPr>
            <w:tcW w:w="1305" w:type="dxa"/>
            <w:tcBorders>
              <w:top w:val="single" w:sz="4" w:space="0" w:color="FFFFFF"/>
              <w:left w:val="single" w:sz="4" w:space="0" w:color="FFFFFF"/>
              <w:bottom w:val="nil"/>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154.21</w:t>
            </w:r>
          </w:p>
        </w:tc>
        <w:tc>
          <w:tcPr>
            <w:tcW w:w="1414" w:type="dxa"/>
            <w:tcBorders>
              <w:top w:val="single" w:sz="4" w:space="0" w:color="FFFFFF"/>
              <w:left w:val="single" w:sz="4" w:space="0" w:color="FFFFFF"/>
              <w:bottom w:val="nil"/>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189,123.1</w:t>
            </w:r>
          </w:p>
        </w:tc>
      </w:tr>
    </w:tbl>
    <w:p w:rsidR="00C50CE0" w:rsidRDefault="00C50CE0">
      <w:pPr>
        <w:widowControl w:val="0"/>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(Data from </w:t>
      </w:r>
      <w:hyperlink r:id="rId10">
        <w:r>
          <w:rPr>
            <w:color w:val="0000FF"/>
            <w:u w:val="single"/>
          </w:rPr>
          <w:t>https://www.vtenergydashboard.org/my-community/bristol/statistics</w:t>
        </w:r>
      </w:hyperlink>
      <w:r>
        <w:rPr>
          <w:color w:val="000000"/>
        </w:rPr>
        <w:t xml:space="preserve"> as of </w:t>
      </w:r>
      <w:r>
        <w:t>5 March 2019. Capacity installed since 12/2016 calculated from installation date or CPG issuance date</w:t>
      </w:r>
      <w:r>
        <w:rPr>
          <w:color w:val="000000"/>
        </w:rPr>
        <w:t>).</w:t>
      </w:r>
    </w:p>
    <w:p w:rsidR="00C50CE0" w:rsidRDefault="00C50CE0">
      <w:pPr>
        <w:pBdr>
          <w:top w:val="nil"/>
          <w:left w:val="nil"/>
          <w:bottom w:val="nil"/>
          <w:right w:val="nil"/>
          <w:between w:val="nil"/>
        </w:pBdr>
        <w:rPr>
          <w:color w:val="000000"/>
        </w:rPr>
      </w:pPr>
    </w:p>
    <w:p w:rsidR="00C50CE0" w:rsidRDefault="00C50CE0">
      <w:pPr>
        <w:pBdr>
          <w:top w:val="nil"/>
          <w:left w:val="nil"/>
          <w:bottom w:val="nil"/>
          <w:right w:val="nil"/>
          <w:between w:val="nil"/>
        </w:pBdr>
        <w:rPr>
          <w:color w:val="000000"/>
        </w:rPr>
      </w:pP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lastRenderedPageBreak/>
        <w:t>Bristol</w:t>
      </w:r>
      <w:r>
        <w:rPr>
          <w:rFonts w:ascii="Calibri" w:eastAsia="Calibri" w:hAnsi="Calibri" w:cs="Calibri"/>
          <w:color w:val="000000"/>
        </w:rPr>
        <w:t>’</w:t>
      </w:r>
      <w:r>
        <w:rPr>
          <w:color w:val="000000"/>
        </w:rPr>
        <w:t xml:space="preserve">s existing electricity generation resources are primarily from solar power, which are primarily roof-mounted photo-voltaic panels at a fixed angle, with some fixed and tracker ground-mounted photovoltaic arrays (Table 8B). </w:t>
      </w:r>
      <w:r>
        <w:t xml:space="preserve">In addition, several additional homes have solar domestic hot water systems.  </w:t>
      </w:r>
    </w:p>
    <w:p w:rsidR="00C50CE0" w:rsidRDefault="00C50CE0">
      <w:pPr>
        <w:widowControl w:val="0"/>
        <w:pBdr>
          <w:top w:val="nil"/>
          <w:left w:val="nil"/>
          <w:bottom w:val="nil"/>
          <w:right w:val="nil"/>
          <w:between w:val="nil"/>
        </w:pBdr>
        <w:rPr>
          <w:color w:val="000000"/>
        </w:rPr>
      </w:pPr>
    </w:p>
    <w:tbl>
      <w:tblPr>
        <w:tblStyle w:val="a9"/>
        <w:tblW w:w="916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3105"/>
        <w:gridCol w:w="690"/>
        <w:gridCol w:w="1365"/>
        <w:gridCol w:w="1380"/>
        <w:gridCol w:w="1230"/>
        <w:gridCol w:w="1395"/>
      </w:tblGrid>
      <w:tr w:rsidR="00C50CE0">
        <w:trPr>
          <w:trHeight w:val="280"/>
        </w:trPr>
        <w:tc>
          <w:tcPr>
            <w:tcW w:w="6540" w:type="dxa"/>
            <w:gridSpan w:val="4"/>
            <w:tcBorders>
              <w:top w:val="nil"/>
              <w:left w:val="nil"/>
              <w:bottom w:val="nil"/>
              <w:right w:val="nil"/>
            </w:tcBorders>
            <w:shd w:val="clear" w:color="auto" w:fill="333399"/>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color w:val="FFFFFF"/>
              </w:rPr>
              <w:t>Table 8B. Existing Solar Generation Sites in Bristol</w:t>
            </w:r>
          </w:p>
        </w:tc>
        <w:tc>
          <w:tcPr>
            <w:tcW w:w="1230" w:type="dxa"/>
            <w:tcBorders>
              <w:top w:val="nil"/>
              <w:left w:val="nil"/>
              <w:bottom w:val="nil"/>
              <w:right w:val="nil"/>
            </w:tcBorders>
            <w:shd w:val="clear" w:color="auto" w:fill="333399"/>
            <w:tcMar>
              <w:top w:w="80" w:type="dxa"/>
              <w:left w:w="80" w:type="dxa"/>
              <w:bottom w:w="80" w:type="dxa"/>
              <w:right w:w="80" w:type="dxa"/>
            </w:tcMar>
            <w:vAlign w:val="bottom"/>
          </w:tcPr>
          <w:p w:rsidR="00C50CE0" w:rsidRDefault="00C50CE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395" w:type="dxa"/>
            <w:tcBorders>
              <w:top w:val="nil"/>
              <w:left w:val="nil"/>
              <w:bottom w:val="nil"/>
              <w:right w:val="nil"/>
            </w:tcBorders>
            <w:shd w:val="clear" w:color="auto" w:fill="333399"/>
            <w:tcMar>
              <w:top w:w="80" w:type="dxa"/>
              <w:left w:w="80" w:type="dxa"/>
              <w:bottom w:w="80" w:type="dxa"/>
              <w:right w:w="80" w:type="dxa"/>
            </w:tcMar>
            <w:vAlign w:val="bottom"/>
          </w:tcPr>
          <w:p w:rsidR="00C50CE0" w:rsidRDefault="00C50CE0">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50CE0">
        <w:trPr>
          <w:trHeight w:val="280"/>
        </w:trPr>
        <w:tc>
          <w:tcPr>
            <w:tcW w:w="3105" w:type="dxa"/>
            <w:tcBorders>
              <w:top w:val="nil"/>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rPr>
              <w:t>Type</w:t>
            </w:r>
          </w:p>
        </w:tc>
        <w:tc>
          <w:tcPr>
            <w:tcW w:w="690"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sz w:val="22"/>
                <w:szCs w:val="22"/>
              </w:rPr>
              <w:t xml:space="preserve">Total </w:t>
            </w:r>
            <w:r>
              <w:rPr>
                <w:b/>
                <w:color w:val="000000"/>
                <w:sz w:val="22"/>
                <w:szCs w:val="22"/>
              </w:rPr>
              <w:t>Sites</w:t>
            </w:r>
          </w:p>
        </w:tc>
        <w:tc>
          <w:tcPr>
            <w:tcW w:w="1365" w:type="dxa"/>
            <w:tcBorders>
              <w:top w:val="nil"/>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sz w:val="22"/>
                <w:szCs w:val="22"/>
              </w:rPr>
              <w:t>Total Capacity</w:t>
            </w:r>
            <w:r>
              <w:rPr>
                <w:b/>
                <w:color w:val="000000"/>
                <w:sz w:val="22"/>
                <w:szCs w:val="22"/>
              </w:rPr>
              <w:t xml:space="preserve"> (</w:t>
            </w:r>
            <w:r>
              <w:rPr>
                <w:b/>
                <w:sz w:val="22"/>
                <w:szCs w:val="22"/>
              </w:rPr>
              <w:t>k</w:t>
            </w:r>
            <w:r>
              <w:rPr>
                <w:b/>
                <w:color w:val="000000"/>
                <w:sz w:val="22"/>
                <w:szCs w:val="22"/>
              </w:rPr>
              <w:t>W)</w:t>
            </w:r>
          </w:p>
        </w:tc>
        <w:tc>
          <w:tcPr>
            <w:tcW w:w="1380"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sz w:val="22"/>
                <w:szCs w:val="22"/>
              </w:rPr>
              <w:t xml:space="preserve">Total </w:t>
            </w:r>
            <w:r>
              <w:rPr>
                <w:b/>
                <w:color w:val="000000"/>
                <w:sz w:val="22"/>
                <w:szCs w:val="22"/>
              </w:rPr>
              <w:t>Generation (</w:t>
            </w:r>
            <w:r>
              <w:rPr>
                <w:b/>
                <w:sz w:val="22"/>
                <w:szCs w:val="22"/>
              </w:rPr>
              <w:t>k</w:t>
            </w:r>
            <w:r>
              <w:rPr>
                <w:b/>
                <w:color w:val="000000"/>
                <w:sz w:val="22"/>
                <w:szCs w:val="22"/>
              </w:rPr>
              <w:t>Wh/year)</w:t>
            </w:r>
          </w:p>
        </w:tc>
        <w:tc>
          <w:tcPr>
            <w:tcW w:w="1230"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b/>
                <w:sz w:val="22"/>
                <w:szCs w:val="22"/>
              </w:rPr>
            </w:pPr>
            <w:r>
              <w:rPr>
                <w:b/>
                <w:sz w:val="22"/>
                <w:szCs w:val="22"/>
              </w:rPr>
              <w:t>Capacity installed since 2016 (kW)</w:t>
            </w:r>
          </w:p>
        </w:tc>
        <w:tc>
          <w:tcPr>
            <w:tcW w:w="1395" w:type="dxa"/>
            <w:tcBorders>
              <w:top w:val="nil"/>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rPr>
                <w:b/>
                <w:sz w:val="22"/>
                <w:szCs w:val="22"/>
              </w:rPr>
            </w:pPr>
            <w:r>
              <w:rPr>
                <w:b/>
                <w:sz w:val="22"/>
                <w:szCs w:val="22"/>
              </w:rPr>
              <w:t>Additional Generation since 2016 (MWh/year)</w:t>
            </w:r>
          </w:p>
        </w:tc>
      </w:tr>
      <w:tr w:rsidR="00C50CE0">
        <w:trPr>
          <w:trHeight w:val="300"/>
        </w:trPr>
        <w:tc>
          <w:tcPr>
            <w:tcW w:w="3105" w:type="dxa"/>
            <w:tcBorders>
              <w:top w:val="single" w:sz="4" w:space="0" w:color="FFFFFF"/>
              <w:left w:val="nil"/>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Ground-mounted PV</w:t>
            </w:r>
          </w:p>
        </w:tc>
        <w:tc>
          <w:tcPr>
            <w:tcW w:w="69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8</w:t>
            </w:r>
          </w:p>
        </w:tc>
        <w:tc>
          <w:tcPr>
            <w:tcW w:w="1365"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pPr>
            <w:r>
              <w:t>46.99</w:t>
            </w:r>
          </w:p>
        </w:tc>
        <w:tc>
          <w:tcPr>
            <w:tcW w:w="138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5</w:t>
            </w:r>
            <w:r>
              <w:t>7,628.5</w:t>
            </w:r>
          </w:p>
        </w:tc>
        <w:tc>
          <w:tcPr>
            <w:tcW w:w="123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27</w:t>
            </w:r>
          </w:p>
        </w:tc>
        <w:tc>
          <w:tcPr>
            <w:tcW w:w="1395"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33,112.8</w:t>
            </w:r>
          </w:p>
        </w:tc>
      </w:tr>
      <w:tr w:rsidR="00C50CE0">
        <w:trPr>
          <w:trHeight w:val="300"/>
        </w:trPr>
        <w:tc>
          <w:tcPr>
            <w:tcW w:w="3105" w:type="dxa"/>
            <w:tcBorders>
              <w:top w:val="single" w:sz="4" w:space="0" w:color="FFFFFF"/>
              <w:left w:val="nil"/>
              <w:bottom w:val="single" w:sz="4" w:space="0" w:color="FFFFFF"/>
              <w:right w:val="single" w:sz="4" w:space="0" w:color="FFFFFF"/>
            </w:tcBorders>
            <w:shd w:val="clear" w:color="auto" w:fill="DBE5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Ground-mounted PV: Tracker</w:t>
            </w:r>
          </w:p>
        </w:tc>
        <w:tc>
          <w:tcPr>
            <w:tcW w:w="690" w:type="dxa"/>
            <w:tcBorders>
              <w:top w:val="single" w:sz="4" w:space="0" w:color="FFFFFF"/>
              <w:left w:val="single" w:sz="4" w:space="0" w:color="FFFFFF"/>
              <w:bottom w:val="single" w:sz="4" w:space="0" w:color="FFFFFF"/>
              <w:right w:val="single" w:sz="4" w:space="0" w:color="FFFFFF"/>
            </w:tcBorders>
            <w:shd w:val="clear" w:color="auto" w:fill="DBE5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5</w:t>
            </w:r>
          </w:p>
        </w:tc>
        <w:tc>
          <w:tcPr>
            <w:tcW w:w="1365" w:type="dxa"/>
            <w:tcBorders>
              <w:top w:val="single" w:sz="4" w:space="0" w:color="FFFFFF"/>
              <w:left w:val="single" w:sz="4" w:space="0" w:color="FFFFFF"/>
              <w:bottom w:val="single" w:sz="4" w:space="0" w:color="FFFFFF"/>
              <w:right w:val="single" w:sz="4" w:space="0" w:color="FFFFFF"/>
            </w:tcBorders>
            <w:shd w:val="clear" w:color="auto" w:fill="DBE5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533.40</w:t>
            </w:r>
          </w:p>
        </w:tc>
        <w:tc>
          <w:tcPr>
            <w:tcW w:w="1380" w:type="dxa"/>
            <w:tcBorders>
              <w:top w:val="single" w:sz="4" w:space="0" w:color="FFFFFF"/>
              <w:left w:val="single" w:sz="4" w:space="0" w:color="FFFFFF"/>
              <w:bottom w:val="single" w:sz="4" w:space="0" w:color="FFFFFF"/>
              <w:right w:val="nil"/>
            </w:tcBorders>
            <w:shd w:val="clear" w:color="auto" w:fill="DBE5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654,161.8</w:t>
            </w:r>
          </w:p>
        </w:tc>
        <w:tc>
          <w:tcPr>
            <w:tcW w:w="1230" w:type="dxa"/>
            <w:tcBorders>
              <w:top w:val="single" w:sz="4" w:space="0" w:color="FFFFFF"/>
              <w:left w:val="single" w:sz="4" w:space="0" w:color="FFFFFF"/>
              <w:bottom w:val="single" w:sz="4" w:space="0" w:color="FFFFFF"/>
              <w:right w:val="nil"/>
            </w:tcBorders>
            <w:shd w:val="clear" w:color="auto" w:fill="DBE5F1"/>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24</w:t>
            </w:r>
          </w:p>
        </w:tc>
        <w:tc>
          <w:tcPr>
            <w:tcW w:w="1395" w:type="dxa"/>
            <w:tcBorders>
              <w:top w:val="single" w:sz="4" w:space="0" w:color="FFFFFF"/>
              <w:left w:val="single" w:sz="4" w:space="0" w:color="FFFFFF"/>
              <w:bottom w:val="single" w:sz="4" w:space="0" w:color="FFFFFF"/>
              <w:right w:val="nil"/>
            </w:tcBorders>
            <w:shd w:val="clear" w:color="auto" w:fill="DBE5F1"/>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29,433.6</w:t>
            </w:r>
          </w:p>
        </w:tc>
      </w:tr>
      <w:tr w:rsidR="00C50CE0">
        <w:trPr>
          <w:trHeight w:val="300"/>
        </w:trPr>
        <w:tc>
          <w:tcPr>
            <w:tcW w:w="3105" w:type="dxa"/>
            <w:tcBorders>
              <w:top w:val="single" w:sz="4" w:space="0" w:color="FFFFFF"/>
              <w:left w:val="nil"/>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Roof-Mounted PV</w:t>
            </w:r>
          </w:p>
        </w:tc>
        <w:tc>
          <w:tcPr>
            <w:tcW w:w="69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9</w:t>
            </w:r>
            <w:r>
              <w:t>9</w:t>
            </w:r>
          </w:p>
        </w:tc>
        <w:tc>
          <w:tcPr>
            <w:tcW w:w="1365"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642.17</w:t>
            </w:r>
          </w:p>
        </w:tc>
        <w:tc>
          <w:tcPr>
            <w:tcW w:w="138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78</w:t>
            </w:r>
            <w:r>
              <w:rPr>
                <w:color w:val="000000"/>
              </w:rPr>
              <w:t>7,557.3</w:t>
            </w:r>
          </w:p>
        </w:tc>
        <w:tc>
          <w:tcPr>
            <w:tcW w:w="123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103.21</w:t>
            </w:r>
          </w:p>
        </w:tc>
        <w:tc>
          <w:tcPr>
            <w:tcW w:w="1395"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126,576.7</w:t>
            </w:r>
          </w:p>
        </w:tc>
      </w:tr>
      <w:tr w:rsidR="00C50CE0">
        <w:trPr>
          <w:trHeight w:val="280"/>
        </w:trPr>
        <w:tc>
          <w:tcPr>
            <w:tcW w:w="3105" w:type="dxa"/>
            <w:tcBorders>
              <w:top w:val="single" w:sz="4" w:space="0" w:color="FFFFFF"/>
              <w:left w:val="nil"/>
              <w:bottom w:val="nil"/>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rPr>
              <w:t xml:space="preserve">Total Solar </w:t>
            </w:r>
            <w:proofErr w:type="gramStart"/>
            <w:r>
              <w:rPr>
                <w:b/>
                <w:color w:val="000000"/>
              </w:rPr>
              <w:t>Energy  Generation</w:t>
            </w:r>
            <w:proofErr w:type="gramEnd"/>
          </w:p>
        </w:tc>
        <w:tc>
          <w:tcPr>
            <w:tcW w:w="690" w:type="dxa"/>
            <w:tcBorders>
              <w:top w:val="single" w:sz="4" w:space="0" w:color="FFFFFF"/>
              <w:left w:val="single" w:sz="4" w:space="0" w:color="FFFFFF"/>
              <w:bottom w:val="nil"/>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110</w:t>
            </w:r>
          </w:p>
        </w:tc>
        <w:tc>
          <w:tcPr>
            <w:tcW w:w="1365" w:type="dxa"/>
            <w:tcBorders>
              <w:top w:val="single" w:sz="4" w:space="0" w:color="FFFFFF"/>
              <w:left w:val="single" w:sz="4" w:space="0" w:color="FFFFFF"/>
              <w:bottom w:val="nil"/>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t>1,222.56</w:t>
            </w:r>
          </w:p>
        </w:tc>
        <w:tc>
          <w:tcPr>
            <w:tcW w:w="1380" w:type="dxa"/>
            <w:tcBorders>
              <w:top w:val="single" w:sz="4" w:space="0" w:color="FFFFFF"/>
              <w:left w:val="single" w:sz="4" w:space="0" w:color="FFFFFF"/>
              <w:bottom w:val="nil"/>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1,4</w:t>
            </w:r>
            <w:r>
              <w:t>99,348</w:t>
            </w:r>
          </w:p>
        </w:tc>
        <w:tc>
          <w:tcPr>
            <w:tcW w:w="1230" w:type="dxa"/>
            <w:tcBorders>
              <w:top w:val="single" w:sz="4" w:space="0" w:color="FFFFFF"/>
              <w:left w:val="single" w:sz="4" w:space="0" w:color="FFFFFF"/>
              <w:bottom w:val="nil"/>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154.21</w:t>
            </w:r>
          </w:p>
        </w:tc>
        <w:tc>
          <w:tcPr>
            <w:tcW w:w="1395" w:type="dxa"/>
            <w:tcBorders>
              <w:top w:val="single" w:sz="4" w:space="0" w:color="FFFFFF"/>
              <w:left w:val="single" w:sz="4" w:space="0" w:color="FFFFFF"/>
              <w:bottom w:val="nil"/>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189,123.1</w:t>
            </w:r>
          </w:p>
        </w:tc>
      </w:tr>
    </w:tbl>
    <w:p w:rsidR="00C50CE0" w:rsidRDefault="00C50CE0">
      <w:pPr>
        <w:widowControl w:val="0"/>
        <w:pBdr>
          <w:top w:val="nil"/>
          <w:left w:val="nil"/>
          <w:bottom w:val="nil"/>
          <w:right w:val="nil"/>
          <w:between w:val="nil"/>
        </w:pBdr>
        <w:rPr>
          <w:color w:val="000000"/>
        </w:rPr>
      </w:pPr>
    </w:p>
    <w:p w:rsidR="00C50CE0" w:rsidRDefault="0032395E">
      <w:pPr>
        <w:pBdr>
          <w:top w:val="nil"/>
          <w:left w:val="nil"/>
          <w:bottom w:val="nil"/>
          <w:right w:val="nil"/>
          <w:between w:val="nil"/>
        </w:pBdr>
        <w:rPr>
          <w:b/>
          <w:color w:val="4F81BD"/>
        </w:rPr>
      </w:pPr>
      <w:r>
        <w:rPr>
          <w:b/>
          <w:color w:val="4F81BD"/>
        </w:rPr>
        <w:t>Types of Generation Potential</w:t>
      </w:r>
    </w:p>
    <w:p w:rsidR="00C50CE0" w:rsidRDefault="0032395E">
      <w:pPr>
        <w:pBdr>
          <w:top w:val="nil"/>
          <w:left w:val="nil"/>
          <w:bottom w:val="nil"/>
          <w:right w:val="nil"/>
          <w:between w:val="nil"/>
        </w:pBdr>
      </w:pPr>
      <w:r>
        <w:t>There are a number of different types of renewable generation potentially available to Bristol</w:t>
      </w:r>
      <w:r>
        <w:rPr>
          <w:rFonts w:ascii="Calibri" w:eastAsia="Calibri" w:hAnsi="Calibri" w:cs="Calibri"/>
        </w:rPr>
        <w:t>’</w:t>
      </w:r>
      <w:r>
        <w:t xml:space="preserve">s residents that they might harness to meet statewide generation targets for the community. </w:t>
      </w:r>
    </w:p>
    <w:p w:rsidR="00C50CE0" w:rsidRDefault="00C50CE0">
      <w:pPr>
        <w:pBdr>
          <w:top w:val="nil"/>
          <w:left w:val="nil"/>
          <w:bottom w:val="nil"/>
          <w:right w:val="nil"/>
          <w:between w:val="nil"/>
        </w:pBdr>
      </w:pPr>
    </w:p>
    <w:p w:rsidR="00C50CE0" w:rsidRDefault="0032395E">
      <w:pPr>
        <w:pBdr>
          <w:top w:val="nil"/>
          <w:left w:val="nil"/>
          <w:bottom w:val="nil"/>
          <w:right w:val="nil"/>
          <w:between w:val="nil"/>
        </w:pBdr>
        <w:rPr>
          <w:b/>
          <w:color w:val="000000"/>
        </w:rPr>
      </w:pPr>
      <w:r>
        <w:rPr>
          <w:b/>
          <w:color w:val="000000"/>
        </w:rPr>
        <w:t>Solar Energy</w:t>
      </w:r>
    </w:p>
    <w:p w:rsidR="00C50CE0" w:rsidRDefault="0032395E">
      <w:pPr>
        <w:pBdr>
          <w:top w:val="nil"/>
          <w:left w:val="nil"/>
          <w:bottom w:val="nil"/>
          <w:right w:val="nil"/>
          <w:between w:val="nil"/>
        </w:pBdr>
        <w:rPr>
          <w:color w:val="000000"/>
        </w:rPr>
      </w:pPr>
      <w:r>
        <w:rPr>
          <w:color w:val="000000"/>
        </w:rPr>
        <w:t>Globally, the sun supplies energy to Earth at some 10,000 times the rate at which humankind uses energy.  However, this energy is not distributed equally, and Bristol</w:t>
      </w:r>
      <w:r>
        <w:rPr>
          <w:rFonts w:ascii="Calibri" w:eastAsia="Calibri" w:hAnsi="Calibri" w:cs="Calibri"/>
          <w:color w:val="000000"/>
        </w:rPr>
        <w:t>’</w:t>
      </w:r>
      <w:r>
        <w:rPr>
          <w:color w:val="000000"/>
        </w:rPr>
        <w:t xml:space="preserve">s location and climate mean our share of solar energy is less than average.  Nevertheless, the rate of solar energy input to Bristol ranges from about 500 kilowatts per acre in January to 900 kilowatts per acre in June; these are for solar collectors tilted at an angle equal to </w:t>
      </w:r>
      <w:r>
        <w:t>its</w:t>
      </w:r>
      <w:r>
        <w:rPr>
          <w:color w:val="000000"/>
        </w:rPr>
        <w:t xml:space="preserve"> 44</w:t>
      </w:r>
      <w:r>
        <w:rPr>
          <w:rFonts w:ascii="Calibri" w:eastAsia="Calibri" w:hAnsi="Calibri" w:cs="Calibri"/>
          <w:color w:val="000000"/>
        </w:rPr>
        <w:t>˚</w:t>
      </w:r>
      <w:r>
        <w:rPr>
          <w:color w:val="000000"/>
        </w:rPr>
        <w:t xml:space="preserve"> </w:t>
      </w:r>
      <w:r>
        <w:t xml:space="preserve">latitude </w:t>
      </w:r>
      <w:r>
        <w:rPr>
          <w:color w:val="000000"/>
        </w:rPr>
        <w:t>(National Renewable Energy Laboratory, Solar Radiation Data Manual for Flat-Plate and Concentrating Collectors).</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Given </w:t>
      </w:r>
      <w:r>
        <w:t>the town’s</w:t>
      </w:r>
      <w:r>
        <w:rPr>
          <w:color w:val="000000"/>
        </w:rPr>
        <w:t xml:space="preserve"> current total elect</w:t>
      </w:r>
      <w:r>
        <w:t xml:space="preserve">rical </w:t>
      </w:r>
      <w:r>
        <w:rPr>
          <w:color w:val="000000"/>
        </w:rPr>
        <w:t xml:space="preserve">energy consumption rate of </w:t>
      </w:r>
      <w:r>
        <w:t>22,514 MWh (Table 4)</w:t>
      </w:r>
      <w:r>
        <w:rPr>
          <w:color w:val="000000"/>
        </w:rPr>
        <w:t xml:space="preserve">, this means that even in January Bristol could, in principle, meet our average energy demand with solar energy </w:t>
      </w:r>
      <w:r>
        <w:t>(18.4 MW)</w:t>
      </w:r>
      <w:r>
        <w:rPr>
          <w:color w:val="000000"/>
        </w:rPr>
        <w:t xml:space="preserve">, using just </w:t>
      </w:r>
      <w:r>
        <w:t>150 acres.</w:t>
      </w:r>
      <w:r>
        <w:rPr>
          <w:color w:val="000000"/>
        </w:rPr>
        <w:t xml:space="preserve">  Inefficiencies </w:t>
      </w:r>
      <w:r>
        <w:t>c</w:t>
      </w:r>
      <w:r>
        <w:rPr>
          <w:color w:val="000000"/>
        </w:rPr>
        <w:t xml:space="preserve">ould raise this figure many times over, as would </w:t>
      </w:r>
      <w:r>
        <w:t>the</w:t>
      </w:r>
      <w:r>
        <w:rPr>
          <w:color w:val="000000"/>
        </w:rPr>
        <w:t xml:space="preserve"> increased energy consumption in January.  Nevertheless, it</w:t>
      </w:r>
      <w:r>
        <w:rPr>
          <w:rFonts w:ascii="Calibri" w:eastAsia="Calibri" w:hAnsi="Calibri" w:cs="Calibri"/>
          <w:color w:val="000000"/>
        </w:rPr>
        <w:t>’</w:t>
      </w:r>
      <w:r>
        <w:rPr>
          <w:color w:val="000000"/>
        </w:rPr>
        <w:t xml:space="preserve">s clear that the solar resource at Bristol is theoretically more than adequate for </w:t>
      </w:r>
      <w:r>
        <w:t xml:space="preserve">their </w:t>
      </w:r>
      <w:r>
        <w:rPr>
          <w:color w:val="000000"/>
        </w:rPr>
        <w:t>energy needs.</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Although the technology exists to convert solar energy into heat and electricity, at this point it would be impractical to supply all of Bristol's energy with in-town solar installations. </w:t>
      </w:r>
      <w:r>
        <w:rPr>
          <w:rFonts w:ascii="Calibri" w:eastAsia="Calibri" w:hAnsi="Calibri" w:cs="Calibri"/>
          <w:color w:val="000000"/>
        </w:rPr>
        <w:t> </w:t>
      </w:r>
      <w:r>
        <w:rPr>
          <w:color w:val="000000"/>
        </w:rPr>
        <w:t xml:space="preserve">However, the use of solar energy for electricity and/or heat in individual homes and for charging electric vehicles is technologically feasible and ranges from solidly economical to marginally so. </w:t>
      </w:r>
      <w:r>
        <w:rPr>
          <w:rFonts w:ascii="Calibri" w:eastAsia="Calibri" w:hAnsi="Calibri" w:cs="Calibri"/>
          <w:color w:val="000000"/>
        </w:rPr>
        <w:t> </w:t>
      </w:r>
      <w:r>
        <w:rPr>
          <w:color w:val="000000"/>
        </w:rPr>
        <w:t xml:space="preserve">Solar energy facilities ranging from 150 kW to 5MW are starting to be constructed in neighboring Addison County towns with varying visual and other impacts. Table 8B, 'Existing </w:t>
      </w:r>
      <w:r>
        <w:t>Solar</w:t>
      </w:r>
      <w:r>
        <w:rPr>
          <w:color w:val="000000"/>
        </w:rPr>
        <w:t xml:space="preserve"> Generation in Bristol' describes some of our town's current solar installations.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As noted earlier, Bristol supports renewable energy generation installations sized, sited and constructed pursuant to the community Siting Standards contained later in this section.  Bristol believes the best commercial/industrial solar sites in town would be in the area Bristol has </w:t>
      </w:r>
      <w:r>
        <w:t>designated</w:t>
      </w:r>
      <w:r>
        <w:rPr>
          <w:color w:val="000000"/>
        </w:rPr>
        <w:t xml:space="preserve"> for </w:t>
      </w:r>
      <w:r>
        <w:t>rural-agricultural</w:t>
      </w:r>
      <w:r>
        <w:rPr>
          <w:color w:val="000000"/>
        </w:rPr>
        <w:t xml:space="preserve"> use. </w:t>
      </w:r>
    </w:p>
    <w:p w:rsidR="00C50CE0" w:rsidRDefault="0032395E">
      <w:pPr>
        <w:pBdr>
          <w:top w:val="nil"/>
          <w:left w:val="nil"/>
          <w:bottom w:val="nil"/>
          <w:right w:val="nil"/>
          <w:between w:val="nil"/>
        </w:pBdr>
        <w:rPr>
          <w:color w:val="000000"/>
        </w:rPr>
      </w:pPr>
      <w:r>
        <w:rPr>
          <w:color w:val="000000"/>
        </w:rPr>
        <w:t xml:space="preserve"> </w:t>
      </w:r>
    </w:p>
    <w:p w:rsidR="00C50CE0" w:rsidRDefault="0032395E">
      <w:pPr>
        <w:pBdr>
          <w:top w:val="nil"/>
          <w:left w:val="nil"/>
          <w:bottom w:val="nil"/>
          <w:right w:val="nil"/>
          <w:between w:val="nil"/>
        </w:pBdr>
        <w:rPr>
          <w:b/>
          <w:color w:val="000000"/>
        </w:rPr>
      </w:pPr>
      <w:r>
        <w:rPr>
          <w:b/>
          <w:color w:val="000000"/>
        </w:rPr>
        <w:lastRenderedPageBreak/>
        <w:t>Biomass</w:t>
      </w:r>
    </w:p>
    <w:p w:rsidR="00C50CE0" w:rsidRDefault="0032395E">
      <w:pPr>
        <w:pBdr>
          <w:top w:val="nil"/>
          <w:left w:val="nil"/>
          <w:bottom w:val="nil"/>
          <w:right w:val="nil"/>
          <w:between w:val="nil"/>
        </w:pBdr>
        <w:rPr>
          <w:color w:val="000000"/>
        </w:rPr>
      </w:pPr>
      <w:r>
        <w:rPr>
          <w:color w:val="000000"/>
        </w:rPr>
        <w:t>Trees</w:t>
      </w:r>
      <w:r>
        <w:rPr>
          <w:rFonts w:ascii="Calibri" w:eastAsia="Calibri" w:hAnsi="Calibri" w:cs="Calibri"/>
          <w:color w:val="000000"/>
        </w:rPr>
        <w:t xml:space="preserve">’ </w:t>
      </w:r>
      <w:r>
        <w:rPr>
          <w:color w:val="000000"/>
        </w:rPr>
        <w:t xml:space="preserve">leaves act as solar collectors, storing solar energy through the process of photosynthesis.  Although the efficiency is low, </w:t>
      </w:r>
      <w:r>
        <w:t>Bristol</w:t>
      </w:r>
      <w:r>
        <w:rPr>
          <w:rFonts w:ascii="Calibri" w:eastAsia="Calibri" w:hAnsi="Calibri" w:cs="Calibri"/>
          <w:color w:val="000000"/>
        </w:rPr>
        <w:t>’</w:t>
      </w:r>
      <w:r>
        <w:rPr>
          <w:color w:val="000000"/>
        </w:rPr>
        <w:t>s large areas of forest make for a substantial rate of solar energy storage in the form of tree biomass that can be burned for heat or to generate electricity.  Many homes in Bristol use wood either as the primary heating fuel or to supplement another heat source, usually oil but sometimes solar or geothermal. As Table 1 shows, about 17% of Bristol</w:t>
      </w:r>
      <w:r>
        <w:rPr>
          <w:rFonts w:ascii="Calibri" w:eastAsia="Calibri" w:hAnsi="Calibri" w:cs="Calibri"/>
          <w:color w:val="000000"/>
        </w:rPr>
        <w:t>’</w:t>
      </w:r>
      <w:r>
        <w:rPr>
          <w:color w:val="000000"/>
        </w:rPr>
        <w:t>s households burn wood for heat, generating approximately 32 Billion BTUs. Burning wood for heat in Bristol certainly makes a significant dent in</w:t>
      </w:r>
      <w:r>
        <w:t xml:space="preserve"> the town’s fossil fuel</w:t>
      </w:r>
      <w:r>
        <w:rPr>
          <w:color w:val="000000"/>
        </w:rPr>
        <w:t xml:space="preserve"> consumption. County foresters project that each acre of Addison County forest might sustainably yield about one-third of a cord of firewood each year.  Given that most of the eastern </w:t>
      </w:r>
      <w:r>
        <w:t>half</w:t>
      </w:r>
      <w:r>
        <w:rPr>
          <w:color w:val="000000"/>
        </w:rPr>
        <w:t xml:space="preserve"> of Bristol is wooded, if we assumed that 3,000 of Bristol</w:t>
      </w:r>
      <w:r>
        <w:rPr>
          <w:rFonts w:ascii="Calibri" w:eastAsia="Calibri" w:hAnsi="Calibri" w:cs="Calibri"/>
          <w:color w:val="000000"/>
        </w:rPr>
        <w:t>’</w:t>
      </w:r>
      <w:r>
        <w:rPr>
          <w:color w:val="000000"/>
        </w:rPr>
        <w:t xml:space="preserve">s forested acres were sustainably harvested for firewood, that could yield nearly 1,000 cords per year, a little more than 3 cords per wood-burning household.  </w:t>
      </w:r>
    </w:p>
    <w:p w:rsidR="00C50CE0" w:rsidRDefault="00C50CE0">
      <w:pPr>
        <w:pBdr>
          <w:top w:val="nil"/>
          <w:left w:val="nil"/>
          <w:bottom w:val="nil"/>
          <w:right w:val="nil"/>
          <w:between w:val="nil"/>
        </w:pBdr>
      </w:pPr>
    </w:p>
    <w:p w:rsidR="00C50CE0" w:rsidRDefault="0032395E">
      <w:pPr>
        <w:pBdr>
          <w:top w:val="nil"/>
          <w:left w:val="nil"/>
          <w:bottom w:val="nil"/>
          <w:right w:val="nil"/>
          <w:between w:val="nil"/>
        </w:pBdr>
      </w:pPr>
      <w:r>
        <w:rPr>
          <w:color w:val="000000"/>
        </w:rPr>
        <w:t xml:space="preserve">In 2006, Mt. Abraham Union High School in Bristol installed a </w:t>
      </w:r>
      <w:r>
        <w:t>woodchip heating system with a heating capacity of</w:t>
      </w:r>
      <w:r>
        <w:rPr>
          <w:b/>
        </w:rPr>
        <w:t xml:space="preserve"> </w:t>
      </w:r>
      <w:r>
        <w:t>1.8MW (6 MMBtu/</w:t>
      </w:r>
      <w:proofErr w:type="spellStart"/>
      <w:r>
        <w:t>hr</w:t>
      </w:r>
      <w:proofErr w:type="spellEnd"/>
      <w:r>
        <w:t xml:space="preserve">). The fuel is obtained by two local woodchip producers- Lathrop’s and the A. Johnson Company- located within a mile of the school. The $1.5 million system reduced annual fuel oil usage by almost 40,000 gallons. By the end of the first year after switching to wood heat, the community saved approximately $27,000, nearly 30%, on the school-heating bill.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Bristol also has significant land area devoted to farming.  While not currently economical, biomass crops, for both space heating and as a liquid alternative to diesel fuel could support Bristol</w:t>
      </w:r>
      <w:r>
        <w:rPr>
          <w:rFonts w:ascii="Calibri" w:eastAsia="Calibri" w:hAnsi="Calibri" w:cs="Calibri"/>
          <w:color w:val="000000"/>
        </w:rPr>
        <w:t>’</w:t>
      </w:r>
      <w:r>
        <w:rPr>
          <w:color w:val="000000"/>
        </w:rPr>
        <w:t>s farming economy in the future. The Anaerobic Digester at Four Hills Farm</w:t>
      </w:r>
      <w:r>
        <w:t xml:space="preserve"> provides a model for future energy production on farms.</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As a cautionary note, widespread use of wood and other biomass materials as a heat-producing or energy producing fuel might result in unacceptable levels of </w:t>
      </w:r>
      <w:r>
        <w:t>airborne</w:t>
      </w:r>
      <w:r>
        <w:rPr>
          <w:color w:val="000000"/>
        </w:rPr>
        <w:t xml:space="preserve"> particulates and other forms of air pollution.  Therefore, while supportive, Bristol should consider biomass in the context of public health impacts in addition to whether supplies are sustainable and effective to meet short and long term demands for renewable heat source energy.</w:t>
      </w:r>
    </w:p>
    <w:p w:rsidR="00C50CE0" w:rsidRDefault="00C50CE0">
      <w:pPr>
        <w:pBdr>
          <w:top w:val="nil"/>
          <w:left w:val="nil"/>
          <w:bottom w:val="nil"/>
          <w:right w:val="nil"/>
          <w:between w:val="nil"/>
        </w:pBdr>
        <w:rPr>
          <w:b/>
          <w:color w:val="000000"/>
        </w:rPr>
      </w:pPr>
    </w:p>
    <w:p w:rsidR="00C50CE0" w:rsidRDefault="0032395E">
      <w:pPr>
        <w:pBdr>
          <w:top w:val="nil"/>
          <w:left w:val="nil"/>
          <w:bottom w:val="nil"/>
          <w:right w:val="nil"/>
          <w:between w:val="nil"/>
        </w:pBdr>
        <w:rPr>
          <w:b/>
          <w:color w:val="000000"/>
        </w:rPr>
      </w:pPr>
      <w:r>
        <w:rPr>
          <w:b/>
          <w:color w:val="000000"/>
        </w:rPr>
        <w:t>Wind</w:t>
      </w:r>
    </w:p>
    <w:p w:rsidR="00C50CE0" w:rsidRDefault="0032395E">
      <w:pPr>
        <w:pBdr>
          <w:top w:val="nil"/>
          <w:left w:val="nil"/>
          <w:bottom w:val="nil"/>
          <w:right w:val="nil"/>
          <w:between w:val="nil"/>
        </w:pBdr>
        <w:rPr>
          <w:color w:val="000000"/>
        </w:rPr>
      </w:pPr>
      <w:r>
        <w:rPr>
          <w:color w:val="000000"/>
        </w:rPr>
        <w:t xml:space="preserve">A small portion of Bristol, most of which is located in the Green Mountain National Forest, appears to have winds considered good to excellent for larger-scale wind installations (see </w:t>
      </w:r>
      <w:r>
        <w:t>Map 2 at end</w:t>
      </w:r>
      <w:r>
        <w:rPr>
          <w:color w:val="000000"/>
        </w:rPr>
        <w:t xml:space="preserve">).  However, more of Bristol is likely capable of producing significant wind energy at the smaller scales of individual- or multiple-home wind turbines.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Accordingly, Bristol </w:t>
      </w:r>
      <w:r>
        <w:rPr>
          <w:b/>
          <w:color w:val="000000"/>
        </w:rPr>
        <w:t>supports</w:t>
      </w:r>
      <w:r>
        <w:rPr>
          <w:color w:val="000000"/>
        </w:rPr>
        <w:t xml:space="preserve"> residential and community scale wind projects that are also able to meet its siting standards contained later in this chapter. </w:t>
      </w:r>
      <w:r>
        <w:rPr>
          <w:color w:val="000000"/>
          <w:u w:val="single"/>
        </w:rPr>
        <w:t>Residential-scale</w:t>
      </w:r>
      <w:r>
        <w:rPr>
          <w:color w:val="000000"/>
        </w:rPr>
        <w:t xml:space="preserve"> wind consists of a single tower less than 120 feet high generating less than 15kW of energy. </w:t>
      </w:r>
      <w:r>
        <w:rPr>
          <w:color w:val="000000"/>
          <w:u w:val="single"/>
        </w:rPr>
        <w:t>Community</w:t>
      </w:r>
      <w:r>
        <w:rPr>
          <w:u w:val="single"/>
        </w:rPr>
        <w:t>-</w:t>
      </w:r>
      <w:r>
        <w:rPr>
          <w:color w:val="000000"/>
          <w:u w:val="single"/>
        </w:rPr>
        <w:t>scale</w:t>
      </w:r>
      <w:r>
        <w:rPr>
          <w:color w:val="000000"/>
        </w:rPr>
        <w:t xml:space="preserve"> wind consists of 1 or more towers all less than 200 feet high (so as not to require night lighting) and producing less than 1 MW of electricity. </w:t>
      </w:r>
      <w:r>
        <w:rPr>
          <w:color w:val="000000"/>
          <w:u w:val="single"/>
        </w:rPr>
        <w:t>Industrial-scale wind</w:t>
      </w:r>
      <w:r>
        <w:rPr>
          <w:color w:val="000000"/>
        </w:rPr>
        <w:t xml:space="preserve"> projects that have towers over 200 feet or generate over 1 MW of power are</w:t>
      </w:r>
      <w:r>
        <w:t xml:space="preserve"> </w:t>
      </w:r>
      <w:r>
        <w:rPr>
          <w:b/>
        </w:rPr>
        <w:t>prohibite</w:t>
      </w:r>
      <w:r>
        <w:rPr>
          <w:b/>
          <w:color w:val="000000"/>
        </w:rPr>
        <w:t>d</w:t>
      </w:r>
      <w:r>
        <w:rPr>
          <w:color w:val="000000"/>
        </w:rPr>
        <w:t xml:space="preserve"> in the Town of Bristol. </w:t>
      </w:r>
    </w:p>
    <w:p w:rsidR="00C50CE0" w:rsidRDefault="00C50CE0">
      <w:pPr>
        <w:pBdr>
          <w:top w:val="nil"/>
          <w:left w:val="nil"/>
          <w:bottom w:val="nil"/>
          <w:right w:val="nil"/>
          <w:between w:val="nil"/>
        </w:pBdr>
        <w:rPr>
          <w:b/>
          <w:color w:val="000000"/>
        </w:rPr>
      </w:pPr>
    </w:p>
    <w:p w:rsidR="00C50CE0" w:rsidRDefault="0032395E">
      <w:pPr>
        <w:pBdr>
          <w:top w:val="nil"/>
          <w:left w:val="nil"/>
          <w:bottom w:val="nil"/>
          <w:right w:val="nil"/>
          <w:between w:val="nil"/>
        </w:pBdr>
        <w:rPr>
          <w:b/>
        </w:rPr>
      </w:pPr>
      <w:r>
        <w:br w:type="page"/>
      </w:r>
    </w:p>
    <w:p w:rsidR="00C50CE0" w:rsidRDefault="0032395E">
      <w:pPr>
        <w:pBdr>
          <w:top w:val="nil"/>
          <w:left w:val="nil"/>
          <w:bottom w:val="nil"/>
          <w:right w:val="nil"/>
          <w:between w:val="nil"/>
        </w:pBdr>
        <w:rPr>
          <w:b/>
          <w:color w:val="000000"/>
        </w:rPr>
      </w:pPr>
      <w:r>
        <w:rPr>
          <w:b/>
          <w:color w:val="000000"/>
        </w:rPr>
        <w:lastRenderedPageBreak/>
        <w:t>Geothermal Energy</w:t>
      </w:r>
    </w:p>
    <w:p w:rsidR="00C50CE0" w:rsidRDefault="0032395E">
      <w:pPr>
        <w:pBdr>
          <w:top w:val="nil"/>
          <w:left w:val="nil"/>
          <w:bottom w:val="nil"/>
          <w:right w:val="nil"/>
          <w:between w:val="nil"/>
        </w:pBdr>
        <w:rPr>
          <w:color w:val="000000"/>
        </w:rPr>
      </w:pPr>
      <w:r>
        <w:rPr>
          <w:color w:val="000000"/>
        </w:rPr>
        <w:t>Energy trickles from Earth</w:t>
      </w:r>
      <w:r>
        <w:rPr>
          <w:rFonts w:ascii="Calibri" w:eastAsia="Calibri" w:hAnsi="Calibri" w:cs="Calibri"/>
          <w:color w:val="000000"/>
        </w:rPr>
        <w:t>’</w:t>
      </w:r>
      <w:r>
        <w:rPr>
          <w:color w:val="000000"/>
        </w:rPr>
        <w:t>s interior to the surface at a modest average rate of about 350 watts per acre, far less than the solar input.  For Bristol, far from major geological activity, that number is almost certainly significantly lower.  In addition, solar energy warms the Earth, especially in the summer, and some of that energy is stored as heat in the upper layers of soil and rock.  The result of these geothermal and solar effects is that soil temperatures just a few yards deep under Vermont average around 45</w:t>
      </w:r>
      <w:r>
        <w:t>º</w:t>
      </w:r>
      <w:r>
        <w:rPr>
          <w:color w:val="000000"/>
        </w:rPr>
        <w:t xml:space="preserve"> F to 50</w:t>
      </w:r>
      <w:r>
        <w:t>º</w:t>
      </w:r>
      <w:r>
        <w:rPr>
          <w:rFonts w:ascii="Calibri" w:eastAsia="Calibri" w:hAnsi="Calibri" w:cs="Calibri"/>
        </w:rPr>
        <w:t xml:space="preserve"> </w:t>
      </w:r>
      <w:r>
        <w:rPr>
          <w:color w:val="000000"/>
        </w:rPr>
        <w:t>F year-round.  This temperature is too low for direct heating, although it can help with summer cooling.  Nevertheless, the constant ground temperature represents a significant energy resource, and with appropriate technology it can be used as a heat source.</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To date, no one has used geo-thermal systems relying on heat pump technology in Bristol. However, the technology is potentially viable and therefore included above. </w:t>
      </w:r>
    </w:p>
    <w:p w:rsidR="00C50CE0" w:rsidRDefault="00C50CE0">
      <w:pPr>
        <w:pBdr>
          <w:top w:val="nil"/>
          <w:left w:val="nil"/>
          <w:bottom w:val="nil"/>
          <w:right w:val="nil"/>
          <w:between w:val="nil"/>
        </w:pBdr>
        <w:rPr>
          <w:b/>
          <w:color w:val="000000"/>
        </w:rPr>
      </w:pPr>
    </w:p>
    <w:p w:rsidR="00C50CE0" w:rsidRDefault="0032395E">
      <w:pPr>
        <w:pBdr>
          <w:top w:val="nil"/>
          <w:left w:val="nil"/>
          <w:bottom w:val="nil"/>
          <w:right w:val="nil"/>
          <w:between w:val="nil"/>
        </w:pBdr>
        <w:rPr>
          <w:b/>
          <w:color w:val="000000"/>
        </w:rPr>
      </w:pPr>
      <w:r>
        <w:rPr>
          <w:b/>
          <w:color w:val="000000"/>
        </w:rPr>
        <w:t>Energy Storage</w:t>
      </w:r>
    </w:p>
    <w:p w:rsidR="00C50CE0" w:rsidRDefault="0032395E">
      <w:pPr>
        <w:pBdr>
          <w:top w:val="nil"/>
          <w:left w:val="nil"/>
          <w:bottom w:val="nil"/>
          <w:right w:val="nil"/>
          <w:between w:val="nil"/>
        </w:pBdr>
        <w:rPr>
          <w:color w:val="000000"/>
        </w:rPr>
      </w:pPr>
      <w:r>
        <w:rPr>
          <w:color w:val="000000"/>
        </w:rPr>
        <w:t>Should Bristol permit large-scale generation in its jurisdiction, it should also negotiate to include some type of battery storage facility to supplement the power generated to improve its short-term resiliency.  Battery storage, while expensive, is decreasing in price, is commercially available to support homeowners and may work well with generation assets.</w:t>
      </w:r>
    </w:p>
    <w:p w:rsidR="00C50CE0" w:rsidRDefault="0032395E">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 xml:space="preserve">Generation </w:t>
      </w:r>
      <w:r>
        <w:rPr>
          <w:sz w:val="24"/>
          <w:szCs w:val="24"/>
        </w:rPr>
        <w:t xml:space="preserve">– </w:t>
      </w:r>
      <w:r>
        <w:rPr>
          <w:rFonts w:ascii="Times New Roman" w:eastAsia="Times New Roman" w:hAnsi="Times New Roman" w:cs="Times New Roman"/>
          <w:sz w:val="24"/>
          <w:szCs w:val="24"/>
        </w:rPr>
        <w:t>Potential and Targets</w:t>
      </w:r>
    </w:p>
    <w:p w:rsidR="00C50CE0" w:rsidRDefault="0032395E">
      <w:pPr>
        <w:pBdr>
          <w:top w:val="nil"/>
          <w:left w:val="nil"/>
          <w:bottom w:val="nil"/>
          <w:right w:val="nil"/>
          <w:between w:val="nil"/>
        </w:pBdr>
        <w:rPr>
          <w:b/>
          <w:color w:val="4F81BD"/>
        </w:rPr>
      </w:pPr>
      <w:r>
        <w:rPr>
          <w:b/>
          <w:color w:val="4F81BD"/>
        </w:rPr>
        <w:t>Renewable Generation Potential</w:t>
      </w:r>
    </w:p>
    <w:p w:rsidR="00C50CE0" w:rsidRDefault="0032395E">
      <w:pPr>
        <w:pBdr>
          <w:top w:val="nil"/>
          <w:left w:val="nil"/>
          <w:bottom w:val="nil"/>
          <w:right w:val="nil"/>
          <w:between w:val="nil"/>
        </w:pBdr>
        <w:rPr>
          <w:color w:val="000000"/>
        </w:rPr>
      </w:pPr>
      <w:r>
        <w:rPr>
          <w:color w:val="000000"/>
        </w:rPr>
        <w:t xml:space="preserve">As part of the mapping exercise described below, ACRPC created maps of places where resources were available to generate renewable generation resources within the Town of Bristol. </w:t>
      </w:r>
    </w:p>
    <w:p w:rsidR="00C50CE0" w:rsidRDefault="00C50CE0">
      <w:pPr>
        <w:pBdr>
          <w:top w:val="nil"/>
          <w:left w:val="nil"/>
          <w:bottom w:val="nil"/>
          <w:right w:val="nil"/>
          <w:between w:val="nil"/>
        </w:pBdr>
      </w:pPr>
    </w:p>
    <w:p w:rsidR="00C50CE0" w:rsidRDefault="0032395E">
      <w:pPr>
        <w:pBdr>
          <w:top w:val="nil"/>
          <w:left w:val="nil"/>
          <w:bottom w:val="nil"/>
          <w:right w:val="nil"/>
          <w:between w:val="nil"/>
        </w:pBdr>
        <w:rPr>
          <w:color w:val="000000"/>
        </w:rPr>
      </w:pPr>
      <w:r>
        <w:rPr>
          <w:color w:val="000000"/>
        </w:rPr>
        <w:t xml:space="preserve">Map </w:t>
      </w:r>
      <w:r>
        <w:t>7</w:t>
      </w:r>
      <w:r>
        <w:rPr>
          <w:color w:val="000000"/>
        </w:rPr>
        <w:t xml:space="preserve">, </w:t>
      </w:r>
      <w:r>
        <w:rPr>
          <w:rFonts w:ascii="Calibri" w:eastAsia="Calibri" w:hAnsi="Calibri" w:cs="Calibri"/>
          <w:color w:val="000000"/>
        </w:rPr>
        <w:t>“</w:t>
      </w:r>
      <w:r>
        <w:rPr>
          <w:color w:val="000000"/>
        </w:rPr>
        <w:t>State and Local Known Constraints</w:t>
      </w:r>
      <w:r>
        <w:rPr>
          <w:rFonts w:ascii="Calibri" w:eastAsia="Calibri" w:hAnsi="Calibri" w:cs="Calibri"/>
          <w:color w:val="000000"/>
        </w:rPr>
        <w:t>”</w:t>
      </w:r>
      <w:r>
        <w:rPr>
          <w:color w:val="000000"/>
        </w:rPr>
        <w:t xml:space="preserve"> </w:t>
      </w:r>
      <w:r>
        <w:t>at the end of</w:t>
      </w:r>
      <w:r>
        <w:rPr>
          <w:color w:val="000000"/>
        </w:rPr>
        <w:t xml:space="preserve"> this plan depicts natural resource layers that will preclude renewable energy development.  These </w:t>
      </w:r>
      <w:r>
        <w:rPr>
          <w:rFonts w:ascii="Calibri" w:eastAsia="Calibri" w:hAnsi="Calibri" w:cs="Calibri"/>
          <w:color w:val="000000"/>
        </w:rPr>
        <w:t>“</w:t>
      </w:r>
      <w:r>
        <w:rPr>
          <w:color w:val="000000"/>
        </w:rPr>
        <w:t>Known Constraints</w:t>
      </w:r>
      <w:r>
        <w:rPr>
          <w:rFonts w:ascii="Calibri" w:eastAsia="Calibri" w:hAnsi="Calibri" w:cs="Calibri"/>
          <w:color w:val="000000"/>
        </w:rPr>
        <w:t xml:space="preserve">” </w:t>
      </w:r>
      <w:r>
        <w:rPr>
          <w:color w:val="000000"/>
        </w:rPr>
        <w:t xml:space="preserve">depict places where because of the natural resources located in the area it would be prohibitive to secure a permit for energy development. </w:t>
      </w:r>
      <w:r>
        <w:t>Map 8</w:t>
      </w:r>
      <w:r>
        <w:rPr>
          <w:color w:val="000000"/>
        </w:rPr>
        <w:t xml:space="preserve">, entitled </w:t>
      </w:r>
      <w:r>
        <w:rPr>
          <w:rFonts w:ascii="Calibri" w:eastAsia="Calibri" w:hAnsi="Calibri" w:cs="Calibri"/>
          <w:color w:val="000000"/>
        </w:rPr>
        <w:t>“</w:t>
      </w:r>
      <w:r>
        <w:t>State and Local P</w:t>
      </w:r>
      <w:r>
        <w:rPr>
          <w:color w:val="000000"/>
        </w:rPr>
        <w:t xml:space="preserve">ossible </w:t>
      </w:r>
      <w:r>
        <w:t>C</w:t>
      </w:r>
      <w:r>
        <w:rPr>
          <w:color w:val="000000"/>
        </w:rPr>
        <w:t>onstraints</w:t>
      </w:r>
      <w:r>
        <w:rPr>
          <w:rFonts w:ascii="Calibri" w:eastAsia="Calibri" w:hAnsi="Calibri" w:cs="Calibri"/>
          <w:color w:val="000000"/>
        </w:rPr>
        <w:t xml:space="preserve">” </w:t>
      </w:r>
      <w:r>
        <w:rPr>
          <w:color w:val="000000"/>
        </w:rPr>
        <w:t xml:space="preserve">depicts places where natural resources exist, but may not prohibit development.  Prime agricultural soils would be an example of a possible constraint. A lot of Prime Agricultural resources exist within Bristol.  However, it may or may not prevent wind or solar development.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The next set of maps show the location of where solar resources exist, wind resources and biomass resources exist in quantities that would support generation. These maps are depicted below as Map </w:t>
      </w:r>
      <w:r>
        <w:t>4</w:t>
      </w:r>
      <w:r>
        <w:rPr>
          <w:color w:val="000000"/>
        </w:rPr>
        <w:t xml:space="preserve"> Potential Solar Resources, Map </w:t>
      </w:r>
      <w:r>
        <w:t>5</w:t>
      </w:r>
      <w:r>
        <w:rPr>
          <w:color w:val="000000"/>
        </w:rPr>
        <w:t xml:space="preserve"> </w:t>
      </w:r>
      <w:r>
        <w:t xml:space="preserve">Potential </w:t>
      </w:r>
      <w:r>
        <w:rPr>
          <w:color w:val="000000"/>
        </w:rPr>
        <w:t xml:space="preserve">Wind Resources, and Map </w:t>
      </w:r>
      <w:r>
        <w:t>6</w:t>
      </w:r>
      <w:r>
        <w:rPr>
          <w:color w:val="000000"/>
        </w:rPr>
        <w:t xml:space="preserve"> </w:t>
      </w:r>
      <w:r>
        <w:t xml:space="preserve">Potential </w:t>
      </w:r>
      <w:r>
        <w:rPr>
          <w:color w:val="000000"/>
        </w:rPr>
        <w:t xml:space="preserve">Biomass Resources.  While these maps depict where resources exist, they depict baseline resources, not necessarily the </w:t>
      </w:r>
      <w:r>
        <w:rPr>
          <w:rFonts w:ascii="Calibri" w:eastAsia="Calibri" w:hAnsi="Calibri" w:cs="Calibri"/>
          <w:color w:val="000000"/>
        </w:rPr>
        <w:t>“</w:t>
      </w:r>
      <w:r>
        <w:rPr>
          <w:color w:val="000000"/>
        </w:rPr>
        <w:t>best</w:t>
      </w:r>
      <w:r>
        <w:rPr>
          <w:rFonts w:ascii="Calibri" w:eastAsia="Calibri" w:hAnsi="Calibri" w:cs="Calibri"/>
          <w:color w:val="000000"/>
        </w:rPr>
        <w:t xml:space="preserve">” </w:t>
      </w:r>
      <w:r>
        <w:rPr>
          <w:color w:val="000000"/>
        </w:rPr>
        <w:t xml:space="preserve">resources in the area.  So, for example, the Wind Resource Map depicts are where the wind blows at the minimum velocity necessary to support wind power.  As noted in the wind discussion above, while many places may meet the minimum criteria for wind development, the best area of Bristol is probably </w:t>
      </w:r>
      <w:r>
        <w:t>located within the Bristol Cliffs Wilderness of the Green Mountain National Forest</w:t>
      </w:r>
      <w:r>
        <w:rPr>
          <w:color w:val="000000"/>
        </w:rPr>
        <w:t xml:space="preserve">, which appears to have class 3 winds (around 12 miles/hour at 100 meters above the ground), considered marginally suitable for larger-scale wind installations. Accordingly, users are cautioned to read the maps in this context. </w:t>
      </w:r>
    </w:p>
    <w:p w:rsidR="00C50CE0" w:rsidRDefault="00C50CE0">
      <w:pPr>
        <w:pStyle w:val="Heading2"/>
        <w:rPr>
          <w:rFonts w:ascii="Times New Roman" w:eastAsia="Times New Roman" w:hAnsi="Times New Roman" w:cs="Times New Roman"/>
          <w:sz w:val="24"/>
          <w:szCs w:val="24"/>
        </w:rPr>
      </w:pPr>
    </w:p>
    <w:p w:rsidR="00C50CE0" w:rsidRDefault="00C50CE0">
      <w:pPr>
        <w:pStyle w:val="Heading2"/>
        <w:rPr>
          <w:rFonts w:ascii="Times New Roman" w:eastAsia="Times New Roman" w:hAnsi="Times New Roman" w:cs="Times New Roman"/>
          <w:sz w:val="24"/>
          <w:szCs w:val="24"/>
        </w:rPr>
      </w:pPr>
    </w:p>
    <w:p w:rsidR="00C50CE0" w:rsidRDefault="0032395E">
      <w:pPr>
        <w:pStyle w:val="Heading2"/>
        <w:rPr>
          <w:rFonts w:ascii="Times New Roman" w:eastAsia="Times New Roman" w:hAnsi="Times New Roman" w:cs="Times New Roman"/>
          <w:sz w:val="24"/>
          <w:szCs w:val="24"/>
        </w:rPr>
      </w:pPr>
      <w:r>
        <w:br w:type="page"/>
      </w:r>
    </w:p>
    <w:p w:rsidR="00C50CE0" w:rsidRDefault="0032395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Mapping</w:t>
      </w:r>
    </w:p>
    <w:p w:rsidR="00C50CE0" w:rsidRDefault="0032395E">
      <w:pPr>
        <w:pBdr>
          <w:top w:val="nil"/>
          <w:left w:val="nil"/>
          <w:bottom w:val="nil"/>
          <w:right w:val="nil"/>
          <w:between w:val="nil"/>
        </w:pBdr>
        <w:rPr>
          <w:color w:val="4F81BD"/>
        </w:rPr>
      </w:pPr>
      <w:r>
        <w:rPr>
          <w:b/>
          <w:color w:val="4F81BD"/>
        </w:rPr>
        <w:t>Mapping Energy Resources and Constraints</w:t>
      </w:r>
    </w:p>
    <w:p w:rsidR="00C50CE0" w:rsidRDefault="0032395E">
      <w:pPr>
        <w:pBdr>
          <w:top w:val="nil"/>
          <w:left w:val="nil"/>
          <w:bottom w:val="nil"/>
          <w:right w:val="nil"/>
          <w:between w:val="nil"/>
        </w:pBdr>
        <w:rPr>
          <w:color w:val="000000"/>
        </w:rPr>
      </w:pPr>
      <w:r>
        <w:rPr>
          <w:color w:val="000000"/>
        </w:rPr>
        <w:t xml:space="preserve">Bristol has incorporated maps provided to them by ACRPC. These maps show data as required by the Department of Public Service Determination Standards, including access to energy resources, and constraints to renewable development, and are a required element of enhanced energy planning.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The maps show areas that are potentially appropriate or inappropriate locations for future renewable generation facilities. The maps are a planning tool only and may not precisely indicate locations where siting a facility is acceptable. When a generation facility is proposed, the presence of </w:t>
      </w:r>
      <w:proofErr w:type="gramStart"/>
      <w:r>
        <w:rPr>
          <w:color w:val="000000"/>
        </w:rPr>
        <w:t>all natural</w:t>
      </w:r>
      <w:proofErr w:type="gramEnd"/>
      <w:r>
        <w:rPr>
          <w:color w:val="000000"/>
        </w:rPr>
        <w:t xml:space="preserve"> resources and other specific characteristics of the site shall be verified as a part of the application.  </w:t>
      </w:r>
    </w:p>
    <w:p w:rsidR="00C50CE0" w:rsidRDefault="00C50CE0">
      <w:pPr>
        <w:pBdr>
          <w:top w:val="nil"/>
          <w:left w:val="nil"/>
          <w:bottom w:val="nil"/>
          <w:right w:val="nil"/>
          <w:between w:val="nil"/>
        </w:pBdr>
        <w:rPr>
          <w:color w:val="4F81BD"/>
        </w:rPr>
      </w:pPr>
    </w:p>
    <w:p w:rsidR="00C50CE0" w:rsidRDefault="0032395E">
      <w:pPr>
        <w:pBdr>
          <w:top w:val="nil"/>
          <w:left w:val="nil"/>
          <w:bottom w:val="nil"/>
          <w:right w:val="nil"/>
          <w:between w:val="nil"/>
        </w:pBdr>
        <w:rPr>
          <w:b/>
          <w:color w:val="4F81BD"/>
        </w:rPr>
      </w:pPr>
      <w:r>
        <w:rPr>
          <w:b/>
          <w:color w:val="4F81BD"/>
        </w:rPr>
        <w:t>Mapping Methodology</w:t>
      </w:r>
    </w:p>
    <w:p w:rsidR="00C50CE0" w:rsidRDefault="0032395E">
      <w:pPr>
        <w:pBdr>
          <w:top w:val="nil"/>
          <w:left w:val="nil"/>
          <w:bottom w:val="nil"/>
          <w:right w:val="nil"/>
          <w:between w:val="nil"/>
        </w:pBdr>
        <w:rPr>
          <w:color w:val="000000"/>
        </w:rPr>
      </w:pPr>
      <w:r>
        <w:rPr>
          <w:color w:val="000000"/>
        </w:rPr>
        <w:t xml:space="preserve">Spatial data showing the location of potential energy resources (solar, wind, hydro, and biomass) formed the basis of the maps developed by ACRPC.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rFonts w:ascii="Calibri" w:eastAsia="Calibri" w:hAnsi="Calibri" w:cs="Calibri"/>
          <w:color w:val="000000"/>
        </w:rPr>
        <w:t>“</w:t>
      </w:r>
      <w:r>
        <w:rPr>
          <w:color w:val="000000"/>
        </w:rPr>
        <w:t>Known</w:t>
      </w:r>
      <w:r>
        <w:rPr>
          <w:rFonts w:ascii="Calibri" w:eastAsia="Calibri" w:hAnsi="Calibri" w:cs="Calibri"/>
          <w:color w:val="000000"/>
        </w:rPr>
        <w:t xml:space="preserve">” </w:t>
      </w:r>
      <w:r>
        <w:rPr>
          <w:color w:val="000000"/>
        </w:rPr>
        <w:t xml:space="preserve">and </w:t>
      </w:r>
      <w:r>
        <w:rPr>
          <w:rFonts w:ascii="Calibri" w:eastAsia="Calibri" w:hAnsi="Calibri" w:cs="Calibri"/>
          <w:color w:val="000000"/>
        </w:rPr>
        <w:t>“</w:t>
      </w:r>
      <w:r>
        <w:rPr>
          <w:color w:val="000000"/>
        </w:rPr>
        <w:t>possible</w:t>
      </w:r>
      <w:r>
        <w:rPr>
          <w:rFonts w:ascii="Calibri" w:eastAsia="Calibri" w:hAnsi="Calibri" w:cs="Calibri"/>
          <w:color w:val="000000"/>
        </w:rPr>
        <w:t xml:space="preserve">” </w:t>
      </w:r>
      <w:r>
        <w:rPr>
          <w:color w:val="000000"/>
        </w:rPr>
        <w:t xml:space="preserve">constraints were subsequently identified on the maps.  Known constraints are conservation resources that shall be protected from all future development of renewable generation facilities. Possible constraints are conservation resources that shall be protected, to some extent, from the development of renewable generation facilities. The presence of possible constraints on land does not necessarily impede the siting of renewable generation facilities on a site. Siting in these locations could occur if impacts to the affected possible constraints are mitigated, preferably on-site.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A full list of known and possible constraints included on the maps is located in Table 10.   The known constraints and possible constraints used to create the maps include constraints that are required per the State Determination Standards from the Department of Public Service and constraints that were selected by ACRPC.  </w:t>
      </w: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32395E" w:rsidRDefault="0032395E">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p w:rsidR="00C50CE0" w:rsidRDefault="00C50CE0">
      <w:pPr>
        <w:widowControl w:val="0"/>
        <w:pBdr>
          <w:top w:val="nil"/>
          <w:left w:val="nil"/>
          <w:bottom w:val="nil"/>
          <w:right w:val="nil"/>
          <w:between w:val="nil"/>
        </w:pBdr>
        <w:rPr>
          <w:b/>
          <w:color w:val="548DD4"/>
          <w:u w:val="single"/>
        </w:rPr>
      </w:pPr>
    </w:p>
    <w:tbl>
      <w:tblPr>
        <w:tblStyle w:val="aa"/>
        <w:tblW w:w="93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548"/>
        <w:gridCol w:w="5205"/>
        <w:gridCol w:w="1605"/>
      </w:tblGrid>
      <w:tr w:rsidR="00C50CE0">
        <w:trPr>
          <w:trHeight w:val="280"/>
        </w:trPr>
        <w:tc>
          <w:tcPr>
            <w:tcW w:w="9358" w:type="dxa"/>
            <w:gridSpan w:val="3"/>
            <w:tcBorders>
              <w:top w:val="nil"/>
              <w:left w:val="nil"/>
              <w:bottom w:val="nil"/>
              <w:right w:val="nil"/>
            </w:tcBorders>
            <w:shd w:val="clear" w:color="auto" w:fill="4472C4"/>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rPr>
              <w:lastRenderedPageBreak/>
              <w:t xml:space="preserve">Table 9A. Known Mapping Constraints for Solar, Wind and Biomass </w:t>
            </w:r>
          </w:p>
        </w:tc>
      </w:tr>
      <w:tr w:rsidR="00C50CE0">
        <w:trPr>
          <w:trHeight w:val="280"/>
        </w:trPr>
        <w:tc>
          <w:tcPr>
            <w:tcW w:w="2548" w:type="dxa"/>
            <w:tcBorders>
              <w:top w:val="nil"/>
              <w:left w:val="nil"/>
              <w:bottom w:val="single" w:sz="4" w:space="0" w:color="FFFFFF"/>
              <w:right w:val="single" w:sz="4" w:space="0" w:color="FFFFFF"/>
            </w:tcBorders>
            <w:shd w:val="clear" w:color="auto" w:fill="4472C4"/>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Constraint</w:t>
            </w:r>
          </w:p>
        </w:tc>
        <w:tc>
          <w:tcPr>
            <w:tcW w:w="5205" w:type="dxa"/>
            <w:tcBorders>
              <w:top w:val="nil"/>
              <w:left w:val="single" w:sz="4" w:space="0" w:color="FFFFFF"/>
              <w:bottom w:val="single" w:sz="4" w:space="0" w:color="FFFFFF"/>
              <w:right w:val="single" w:sz="4" w:space="0" w:color="FFFFFF"/>
            </w:tcBorders>
            <w:shd w:val="clear" w:color="auto" w:fill="4472C4"/>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Description</w:t>
            </w:r>
          </w:p>
        </w:tc>
        <w:tc>
          <w:tcPr>
            <w:tcW w:w="1605" w:type="dxa"/>
            <w:tcBorders>
              <w:top w:val="nil"/>
              <w:left w:val="single" w:sz="4" w:space="0" w:color="FFFFFF"/>
              <w:bottom w:val="single" w:sz="4" w:space="0" w:color="FFFFFF"/>
              <w:right w:val="nil"/>
            </w:tcBorders>
            <w:shd w:val="clear" w:color="auto" w:fill="4472C4"/>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Source</w:t>
            </w:r>
          </w:p>
        </w:tc>
      </w:tr>
      <w:tr w:rsidR="00C50CE0">
        <w:trPr>
          <w:trHeight w:val="900"/>
        </w:trPr>
        <w:tc>
          <w:tcPr>
            <w:tcW w:w="2548" w:type="dxa"/>
            <w:tcBorders>
              <w:top w:val="single" w:sz="4" w:space="0" w:color="FFFFFF"/>
              <w:left w:val="nil"/>
              <w:bottom w:val="single" w:sz="4" w:space="0" w:color="FFFFFF"/>
              <w:right w:val="single" w:sz="4" w:space="0" w:color="FFFFFF"/>
            </w:tcBorders>
            <w:shd w:val="clear" w:color="auto" w:fill="B4C6E7"/>
            <w:tcMar>
              <w:top w:w="80" w:type="dxa"/>
              <w:left w:w="80" w:type="dxa"/>
              <w:bottom w:w="80" w:type="dxa"/>
              <w:right w:w="80" w:type="dxa"/>
            </w:tcMar>
            <w:vAlign w:val="center"/>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rPr>
              <w:t>Confirmed and unconfirmed vernal pools</w:t>
            </w:r>
          </w:p>
        </w:tc>
        <w:tc>
          <w:tcPr>
            <w:tcW w:w="5205" w:type="dxa"/>
            <w:tcBorders>
              <w:top w:val="single" w:sz="4" w:space="0" w:color="FFFFFF"/>
              <w:left w:val="single" w:sz="4" w:space="0" w:color="FFFFFF"/>
              <w:bottom w:val="single" w:sz="4" w:space="0" w:color="FFFFFF"/>
              <w:right w:val="single" w:sz="4" w:space="0" w:color="FFFFFF"/>
            </w:tcBorders>
            <w:shd w:val="clear" w:color="auto" w:fill="B4C6E7"/>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 xml:space="preserve">There is a 600-foot buffer around confirmed or unconfirmed vernal pools. </w:t>
            </w:r>
          </w:p>
        </w:tc>
        <w:tc>
          <w:tcPr>
            <w:tcW w:w="1605" w:type="dxa"/>
            <w:tcBorders>
              <w:top w:val="single" w:sz="4" w:space="0" w:color="FFFFFF"/>
              <w:left w:val="single" w:sz="4" w:space="0" w:color="FFFFFF"/>
              <w:bottom w:val="single" w:sz="4" w:space="0" w:color="FFFFFF"/>
              <w:right w:val="nil"/>
            </w:tcBorders>
            <w:shd w:val="clear" w:color="auto" w:fill="B4C6E7"/>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ANR</w:t>
            </w:r>
          </w:p>
        </w:tc>
      </w:tr>
      <w:tr w:rsidR="00C50CE0" w:rsidTr="0032395E">
        <w:trPr>
          <w:trHeight w:val="1107"/>
        </w:trPr>
        <w:tc>
          <w:tcPr>
            <w:tcW w:w="2548" w:type="dxa"/>
            <w:tcBorders>
              <w:top w:val="single" w:sz="4" w:space="0" w:color="FFFFFF"/>
              <w:left w:val="nil"/>
              <w:bottom w:val="single" w:sz="4" w:space="0" w:color="FFFFFF"/>
              <w:right w:val="single" w:sz="4" w:space="0" w:color="FFFFFF"/>
            </w:tcBorders>
            <w:shd w:val="clear" w:color="auto" w:fill="D9E1F2"/>
            <w:tcMar>
              <w:top w:w="80" w:type="dxa"/>
              <w:left w:w="80" w:type="dxa"/>
              <w:bottom w:w="80" w:type="dxa"/>
              <w:right w:w="80" w:type="dxa"/>
            </w:tcMar>
            <w:vAlign w:val="center"/>
          </w:tcPr>
          <w:p w:rsidR="00C50CE0" w:rsidRDefault="0032395E">
            <w:pPr>
              <w:jc w:val="center"/>
              <w:rPr>
                <w:rFonts w:ascii="Calibri" w:eastAsia="Calibri" w:hAnsi="Calibri" w:cs="Calibri"/>
                <w:color w:val="000000"/>
                <w:sz w:val="22"/>
                <w:szCs w:val="22"/>
              </w:rPr>
            </w:pPr>
            <w:r>
              <w:rPr>
                <w:b/>
              </w:rPr>
              <w:t>DEC River corridors</w:t>
            </w:r>
          </w:p>
        </w:tc>
        <w:tc>
          <w:tcPr>
            <w:tcW w:w="5205" w:type="dxa"/>
            <w:tcBorders>
              <w:top w:val="single" w:sz="4" w:space="0" w:color="FFFFFF"/>
              <w:left w:val="single" w:sz="4" w:space="0" w:color="FFFFFF"/>
              <w:bottom w:val="single" w:sz="4" w:space="0" w:color="FFFFFF"/>
              <w:right w:val="single" w:sz="4" w:space="0" w:color="FFFFFF"/>
            </w:tcBorders>
            <w:shd w:val="clear" w:color="auto" w:fill="D9E1F2"/>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 xml:space="preserve">River Corridors were mapped. Includes 50-foot buffer for streams with a drainage area less than 2 square miles. </w:t>
            </w:r>
          </w:p>
        </w:tc>
        <w:tc>
          <w:tcPr>
            <w:tcW w:w="1605" w:type="dxa"/>
            <w:tcBorders>
              <w:top w:val="single" w:sz="4" w:space="0" w:color="FFFFFF"/>
              <w:left w:val="single" w:sz="4" w:space="0" w:color="FFFFFF"/>
              <w:bottom w:val="single" w:sz="4" w:space="0" w:color="FFFFFF"/>
              <w:right w:val="nil"/>
            </w:tcBorders>
            <w:shd w:val="clear" w:color="auto" w:fill="D9E1F2"/>
            <w:tcMar>
              <w:top w:w="80" w:type="dxa"/>
              <w:left w:w="80" w:type="dxa"/>
              <w:bottom w:w="80" w:type="dxa"/>
              <w:right w:w="80" w:type="dxa"/>
            </w:tcMar>
            <w:vAlign w:val="bottom"/>
          </w:tcPr>
          <w:p w:rsidR="00C50CE0" w:rsidRDefault="0032395E">
            <w:pPr>
              <w:pBdr>
                <w:top w:val="nil"/>
                <w:left w:val="nil"/>
                <w:bottom w:val="nil"/>
                <w:right w:val="nil"/>
                <w:between w:val="nil"/>
              </w:pBdr>
            </w:pPr>
            <w:r>
              <w:rPr>
                <w:color w:val="000000"/>
              </w:rPr>
              <w:t>VCGI/ACRPC</w:t>
            </w:r>
          </w:p>
        </w:tc>
      </w:tr>
      <w:tr w:rsidR="00C50CE0" w:rsidTr="0032395E">
        <w:trPr>
          <w:trHeight w:val="459"/>
        </w:trPr>
        <w:tc>
          <w:tcPr>
            <w:tcW w:w="2548" w:type="dxa"/>
            <w:tcBorders>
              <w:top w:val="single" w:sz="4" w:space="0" w:color="FFFFFF"/>
              <w:left w:val="nil"/>
              <w:bottom w:val="single" w:sz="4" w:space="0" w:color="FFFFFF"/>
              <w:right w:val="single" w:sz="4" w:space="0" w:color="FFFFFF"/>
            </w:tcBorders>
            <w:shd w:val="clear" w:color="auto" w:fill="B4C6E7"/>
            <w:tcMar>
              <w:top w:w="80" w:type="dxa"/>
              <w:left w:w="80" w:type="dxa"/>
              <w:bottom w:w="80" w:type="dxa"/>
              <w:right w:w="80" w:type="dxa"/>
            </w:tcMar>
            <w:vAlign w:val="center"/>
          </w:tcPr>
          <w:p w:rsidR="00C50CE0" w:rsidRDefault="0032395E">
            <w:pPr>
              <w:jc w:val="center"/>
              <w:rPr>
                <w:rFonts w:ascii="Calibri" w:eastAsia="Calibri" w:hAnsi="Calibri" w:cs="Calibri"/>
                <w:color w:val="000000"/>
                <w:sz w:val="22"/>
                <w:szCs w:val="22"/>
              </w:rPr>
            </w:pPr>
            <w:r>
              <w:rPr>
                <w:b/>
              </w:rPr>
              <w:t>FEMA Floodways</w:t>
            </w:r>
          </w:p>
        </w:tc>
        <w:tc>
          <w:tcPr>
            <w:tcW w:w="5205" w:type="dxa"/>
            <w:tcBorders>
              <w:top w:val="single" w:sz="4" w:space="0" w:color="FFFFFF"/>
              <w:left w:val="single" w:sz="4" w:space="0" w:color="FFFFFF"/>
              <w:bottom w:val="single" w:sz="4" w:space="0" w:color="FFFFFF"/>
              <w:right w:val="single" w:sz="4" w:space="0" w:color="FFFFFF"/>
            </w:tcBorders>
            <w:shd w:val="clear" w:color="auto" w:fill="B4C6E7"/>
            <w:tcMar>
              <w:top w:w="80" w:type="dxa"/>
              <w:left w:w="80" w:type="dxa"/>
              <w:bottom w:w="80" w:type="dxa"/>
              <w:right w:w="80" w:type="dxa"/>
            </w:tcMar>
            <w:vAlign w:val="bottom"/>
          </w:tcPr>
          <w:p w:rsidR="00C50CE0" w:rsidRDefault="00C50CE0">
            <w:pPr>
              <w:pBdr>
                <w:top w:val="nil"/>
                <w:left w:val="nil"/>
                <w:bottom w:val="nil"/>
                <w:right w:val="nil"/>
                <w:between w:val="nil"/>
              </w:pBdr>
              <w:rPr>
                <w:rFonts w:ascii="Calibri" w:eastAsia="Calibri" w:hAnsi="Calibri" w:cs="Calibri"/>
                <w:color w:val="000000"/>
                <w:sz w:val="22"/>
                <w:szCs w:val="22"/>
              </w:rPr>
            </w:pPr>
          </w:p>
        </w:tc>
        <w:tc>
          <w:tcPr>
            <w:tcW w:w="1605" w:type="dxa"/>
            <w:tcBorders>
              <w:top w:val="single" w:sz="4" w:space="0" w:color="FFFFFF"/>
              <w:left w:val="single" w:sz="4" w:space="0" w:color="FFFFFF"/>
              <w:bottom w:val="single" w:sz="4" w:space="0" w:color="FFFFFF"/>
              <w:right w:val="nil"/>
            </w:tcBorders>
            <w:shd w:val="clear" w:color="auto" w:fill="B4C6E7"/>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t>VCGI</w:t>
            </w:r>
          </w:p>
        </w:tc>
      </w:tr>
      <w:tr w:rsidR="00C50CE0">
        <w:trPr>
          <w:trHeight w:val="600"/>
        </w:trPr>
        <w:tc>
          <w:tcPr>
            <w:tcW w:w="2548" w:type="dxa"/>
            <w:tcBorders>
              <w:top w:val="single" w:sz="4" w:space="0" w:color="FFFFFF"/>
              <w:left w:val="nil"/>
              <w:bottom w:val="single" w:sz="4" w:space="0" w:color="FFFFFF"/>
              <w:right w:val="single" w:sz="4" w:space="0" w:color="FFFFFF"/>
            </w:tcBorders>
            <w:shd w:val="clear" w:color="auto" w:fill="D9E1F2"/>
            <w:tcMar>
              <w:top w:w="80" w:type="dxa"/>
              <w:left w:w="80" w:type="dxa"/>
              <w:bottom w:w="80" w:type="dxa"/>
              <w:right w:w="80" w:type="dxa"/>
            </w:tcMar>
            <w:vAlign w:val="center"/>
          </w:tcPr>
          <w:p w:rsidR="00C50CE0" w:rsidRDefault="0032395E">
            <w:pPr>
              <w:jc w:val="center"/>
              <w:rPr>
                <w:b/>
              </w:rPr>
            </w:pPr>
            <w:r>
              <w:rPr>
                <w:b/>
              </w:rPr>
              <w:t>State Significant Natural Communities and Rare, Threatened, and Endangered Species</w:t>
            </w:r>
          </w:p>
        </w:tc>
        <w:tc>
          <w:tcPr>
            <w:tcW w:w="5205" w:type="dxa"/>
            <w:tcBorders>
              <w:top w:val="single" w:sz="4" w:space="0" w:color="FFFFFF"/>
              <w:left w:val="single" w:sz="4" w:space="0" w:color="FFFFFF"/>
              <w:bottom w:val="single" w:sz="4" w:space="0" w:color="FFFFFF"/>
              <w:right w:val="single" w:sz="4" w:space="0" w:color="FFFFFF"/>
            </w:tcBorders>
            <w:shd w:val="clear" w:color="auto" w:fill="D9E1F2"/>
            <w:tcMar>
              <w:top w:w="80" w:type="dxa"/>
              <w:left w:w="80" w:type="dxa"/>
              <w:bottom w:w="80" w:type="dxa"/>
              <w:right w:w="80" w:type="dxa"/>
            </w:tcMar>
            <w:vAlign w:val="bottom"/>
          </w:tcPr>
          <w:p w:rsidR="00C50CE0" w:rsidRDefault="0032395E">
            <w:r>
              <w:t>Rankings S1 through S3 were used as constraints. These include all of the rare and uncommon rankings within the file. For more information on the specific rankings, explore the methodology for the shapefile.</w:t>
            </w:r>
          </w:p>
        </w:tc>
        <w:tc>
          <w:tcPr>
            <w:tcW w:w="1605" w:type="dxa"/>
            <w:tcBorders>
              <w:top w:val="single" w:sz="4" w:space="0" w:color="FFFFFF"/>
              <w:left w:val="single" w:sz="4" w:space="0" w:color="FFFFFF"/>
              <w:bottom w:val="single" w:sz="4" w:space="0" w:color="FFFFFF"/>
              <w:right w:val="nil"/>
            </w:tcBorders>
            <w:shd w:val="clear" w:color="auto" w:fill="D9E1F2"/>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VCGI</w:t>
            </w:r>
          </w:p>
        </w:tc>
      </w:tr>
      <w:tr w:rsidR="00C50CE0">
        <w:trPr>
          <w:trHeight w:val="300"/>
        </w:trPr>
        <w:tc>
          <w:tcPr>
            <w:tcW w:w="2548" w:type="dxa"/>
            <w:tcBorders>
              <w:top w:val="single" w:sz="4" w:space="0" w:color="FFFFFF"/>
              <w:left w:val="nil"/>
              <w:bottom w:val="single" w:sz="4" w:space="0" w:color="FFFFFF"/>
              <w:right w:val="single" w:sz="4" w:space="0" w:color="FFFFFF"/>
            </w:tcBorders>
            <w:shd w:val="clear" w:color="auto" w:fill="B4C6E7"/>
            <w:tcMar>
              <w:top w:w="80" w:type="dxa"/>
              <w:left w:w="80" w:type="dxa"/>
              <w:bottom w:w="80" w:type="dxa"/>
              <w:right w:w="80" w:type="dxa"/>
            </w:tcMar>
            <w:vAlign w:val="center"/>
          </w:tcPr>
          <w:p w:rsidR="00C50CE0" w:rsidRDefault="0032395E">
            <w:pPr>
              <w:jc w:val="center"/>
              <w:rPr>
                <w:rFonts w:ascii="Calibri" w:eastAsia="Calibri" w:hAnsi="Calibri" w:cs="Calibri"/>
                <w:color w:val="000000"/>
                <w:sz w:val="22"/>
                <w:szCs w:val="22"/>
              </w:rPr>
            </w:pPr>
            <w:r>
              <w:rPr>
                <w:b/>
              </w:rPr>
              <w:t>National wilderness areas</w:t>
            </w:r>
          </w:p>
        </w:tc>
        <w:tc>
          <w:tcPr>
            <w:tcW w:w="5205" w:type="dxa"/>
            <w:tcBorders>
              <w:top w:val="single" w:sz="4" w:space="0" w:color="FFFFFF"/>
              <w:left w:val="single" w:sz="4" w:space="0" w:color="FFFFFF"/>
              <w:bottom w:val="single" w:sz="4" w:space="0" w:color="FFFFFF"/>
              <w:right w:val="single" w:sz="4" w:space="0" w:color="FFFFFF"/>
            </w:tcBorders>
            <w:shd w:val="clear" w:color="auto" w:fill="B4C6E7"/>
            <w:tcMar>
              <w:top w:w="80" w:type="dxa"/>
              <w:left w:w="80" w:type="dxa"/>
              <w:bottom w:w="80" w:type="dxa"/>
              <w:right w:w="80" w:type="dxa"/>
            </w:tcMar>
            <w:vAlign w:val="bottom"/>
          </w:tcPr>
          <w:p w:rsidR="00C50CE0" w:rsidRDefault="00C50CE0"/>
        </w:tc>
        <w:tc>
          <w:tcPr>
            <w:tcW w:w="1605" w:type="dxa"/>
            <w:tcBorders>
              <w:top w:val="single" w:sz="4" w:space="0" w:color="FFFFFF"/>
              <w:left w:val="single" w:sz="4" w:space="0" w:color="FFFFFF"/>
              <w:bottom w:val="single" w:sz="4" w:space="0" w:color="FFFFFF"/>
              <w:right w:val="nil"/>
            </w:tcBorders>
            <w:shd w:val="clear" w:color="auto" w:fill="B4C6E7"/>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VCGI</w:t>
            </w:r>
          </w:p>
        </w:tc>
      </w:tr>
      <w:tr w:rsidR="00C50CE0" w:rsidTr="0032395E">
        <w:trPr>
          <w:trHeight w:val="549"/>
        </w:trPr>
        <w:tc>
          <w:tcPr>
            <w:tcW w:w="2548" w:type="dxa"/>
            <w:tcBorders>
              <w:top w:val="single" w:sz="4" w:space="0" w:color="FFFFFF"/>
              <w:left w:val="nil"/>
              <w:bottom w:val="single" w:sz="4" w:space="0" w:color="FFFFFF"/>
              <w:right w:val="single" w:sz="4" w:space="0" w:color="FFFFFF"/>
            </w:tcBorders>
            <w:shd w:val="clear" w:color="auto" w:fill="D9E1F2"/>
            <w:tcMar>
              <w:top w:w="80" w:type="dxa"/>
              <w:left w:w="80" w:type="dxa"/>
              <w:bottom w:w="80" w:type="dxa"/>
              <w:right w:w="80" w:type="dxa"/>
            </w:tcMar>
            <w:vAlign w:val="center"/>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rPr>
              <w:t xml:space="preserve">Class </w:t>
            </w:r>
            <w:r>
              <w:rPr>
                <w:b/>
              </w:rPr>
              <w:t>I</w:t>
            </w:r>
            <w:r>
              <w:rPr>
                <w:b/>
                <w:color w:val="000000"/>
              </w:rPr>
              <w:t xml:space="preserve"> and Class </w:t>
            </w:r>
            <w:r>
              <w:rPr>
                <w:b/>
              </w:rPr>
              <w:t>II</w:t>
            </w:r>
            <w:r>
              <w:rPr>
                <w:b/>
                <w:color w:val="000000"/>
              </w:rPr>
              <w:t xml:space="preserve"> Wetlands</w:t>
            </w:r>
          </w:p>
        </w:tc>
        <w:tc>
          <w:tcPr>
            <w:tcW w:w="5205" w:type="dxa"/>
            <w:tcBorders>
              <w:top w:val="single" w:sz="4" w:space="0" w:color="FFFFFF"/>
              <w:left w:val="single" w:sz="4" w:space="0" w:color="FFFFFF"/>
              <w:bottom w:val="single" w:sz="4" w:space="0" w:color="FFFFFF"/>
              <w:right w:val="single" w:sz="4" w:space="0" w:color="FFFFFF"/>
            </w:tcBorders>
            <w:shd w:val="clear" w:color="auto" w:fill="D9E1F2"/>
            <w:tcMar>
              <w:top w:w="80" w:type="dxa"/>
              <w:left w:w="80" w:type="dxa"/>
              <w:bottom w:w="80" w:type="dxa"/>
              <w:right w:w="80" w:type="dxa"/>
            </w:tcMar>
            <w:vAlign w:val="bottom"/>
          </w:tcPr>
          <w:p w:rsidR="00C50CE0" w:rsidRDefault="00C50CE0"/>
        </w:tc>
        <w:tc>
          <w:tcPr>
            <w:tcW w:w="1605" w:type="dxa"/>
            <w:tcBorders>
              <w:top w:val="single" w:sz="4" w:space="0" w:color="FFFFFF"/>
              <w:left w:val="single" w:sz="4" w:space="0" w:color="FFFFFF"/>
              <w:bottom w:val="single" w:sz="4" w:space="0" w:color="FFFFFF"/>
              <w:right w:val="nil"/>
            </w:tcBorders>
            <w:shd w:val="clear" w:color="auto" w:fill="D9E1F2"/>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VCGI</w:t>
            </w:r>
          </w:p>
        </w:tc>
      </w:tr>
      <w:tr w:rsidR="00C50CE0">
        <w:trPr>
          <w:trHeight w:val="1800"/>
        </w:trPr>
        <w:tc>
          <w:tcPr>
            <w:tcW w:w="2548" w:type="dxa"/>
            <w:tcBorders>
              <w:top w:val="single" w:sz="4" w:space="0" w:color="FFFFFF"/>
              <w:left w:val="nil"/>
              <w:bottom w:val="single" w:sz="4" w:space="0" w:color="FFFFFF"/>
              <w:right w:val="single" w:sz="4" w:space="0" w:color="FFFFFF"/>
            </w:tcBorders>
            <w:shd w:val="clear" w:color="auto" w:fill="B4C6E7"/>
            <w:tcMar>
              <w:top w:w="80" w:type="dxa"/>
              <w:left w:w="80" w:type="dxa"/>
              <w:bottom w:w="80" w:type="dxa"/>
              <w:right w:w="80" w:type="dxa"/>
            </w:tcMar>
            <w:vAlign w:val="center"/>
          </w:tcPr>
          <w:p w:rsidR="00C50CE0" w:rsidRDefault="0032395E">
            <w:pPr>
              <w:jc w:val="center"/>
              <w:rPr>
                <w:rFonts w:ascii="Calibri" w:eastAsia="Calibri" w:hAnsi="Calibri" w:cs="Calibri"/>
                <w:color w:val="000000"/>
                <w:sz w:val="22"/>
                <w:szCs w:val="22"/>
              </w:rPr>
            </w:pPr>
            <w:r>
              <w:rPr>
                <w:b/>
              </w:rPr>
              <w:t>Bristol Rural Conservation Planning Area</w:t>
            </w:r>
          </w:p>
        </w:tc>
        <w:tc>
          <w:tcPr>
            <w:tcW w:w="5205" w:type="dxa"/>
            <w:tcBorders>
              <w:top w:val="single" w:sz="4" w:space="0" w:color="FFFFFF"/>
              <w:left w:val="single" w:sz="4" w:space="0" w:color="FFFFFF"/>
              <w:bottom w:val="single" w:sz="4" w:space="0" w:color="FFFFFF"/>
              <w:right w:val="single" w:sz="4" w:space="0" w:color="FFFFFF"/>
            </w:tcBorders>
            <w:shd w:val="clear" w:color="auto" w:fill="B4C6E7"/>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 xml:space="preserve">Rural-Conservation Future Land Use areas, as designated in the Bristol Town Plan, that include strict language that strongly deters or prohibits development have been included as a regional known constraint. The inclusion of this resource as a regional constraint is consistent with the goals and policies of the Addison County Regional Plan.  </w:t>
            </w:r>
          </w:p>
        </w:tc>
        <w:tc>
          <w:tcPr>
            <w:tcW w:w="1605" w:type="dxa"/>
            <w:tcBorders>
              <w:top w:val="single" w:sz="4" w:space="0" w:color="FFFFFF"/>
              <w:left w:val="single" w:sz="4" w:space="0" w:color="FFFFFF"/>
              <w:bottom w:val="single" w:sz="4" w:space="0" w:color="FFFFFF"/>
              <w:right w:val="nil"/>
            </w:tcBorders>
            <w:shd w:val="clear" w:color="auto" w:fill="B4C6E7"/>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t>Bristol Town Plan</w:t>
            </w:r>
          </w:p>
        </w:tc>
      </w:tr>
      <w:tr w:rsidR="00C50CE0">
        <w:trPr>
          <w:trHeight w:val="1500"/>
        </w:trPr>
        <w:tc>
          <w:tcPr>
            <w:tcW w:w="2548" w:type="dxa"/>
            <w:tcBorders>
              <w:top w:val="single" w:sz="4" w:space="0" w:color="FFFFFF"/>
              <w:left w:val="nil"/>
              <w:bottom w:val="single" w:sz="4" w:space="0" w:color="FFFFFF"/>
              <w:right w:val="single" w:sz="4" w:space="0" w:color="FFFFFF"/>
            </w:tcBorders>
            <w:shd w:val="clear" w:color="auto" w:fill="D9E1F2"/>
            <w:tcMar>
              <w:top w:w="80" w:type="dxa"/>
              <w:left w:w="80" w:type="dxa"/>
              <w:bottom w:w="80" w:type="dxa"/>
              <w:right w:w="80" w:type="dxa"/>
            </w:tcMar>
            <w:vAlign w:val="center"/>
          </w:tcPr>
          <w:p w:rsidR="00C50CE0" w:rsidRDefault="0032395E">
            <w:pPr>
              <w:rPr>
                <w:rFonts w:ascii="Calibri" w:eastAsia="Calibri" w:hAnsi="Calibri" w:cs="Calibri"/>
                <w:color w:val="000000"/>
                <w:sz w:val="22"/>
                <w:szCs w:val="22"/>
              </w:rPr>
            </w:pPr>
            <w:r>
              <w:rPr>
                <w:b/>
              </w:rPr>
              <w:t>Bristol Village Planning Area</w:t>
            </w:r>
          </w:p>
        </w:tc>
        <w:tc>
          <w:tcPr>
            <w:tcW w:w="5205" w:type="dxa"/>
            <w:tcBorders>
              <w:top w:val="single" w:sz="4" w:space="0" w:color="FFFFFF"/>
              <w:left w:val="single" w:sz="4" w:space="0" w:color="FFFFFF"/>
              <w:bottom w:val="single" w:sz="4" w:space="0" w:color="FFFFFF"/>
              <w:right w:val="single" w:sz="4" w:space="0" w:color="FFFFFF"/>
            </w:tcBorders>
            <w:shd w:val="clear" w:color="auto" w:fill="D9E1F2"/>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 xml:space="preserve">These areas are the center of dense, traditional </w:t>
            </w:r>
            <w:r>
              <w:br/>
              <w:t xml:space="preserve">development in the region.  This constraint does not apply to roof-mounted solar within such designated areas. The inclusion of this resource as a regional constraint is consistent with goals and policies of the Addison County Regional Plan. </w:t>
            </w:r>
          </w:p>
        </w:tc>
        <w:tc>
          <w:tcPr>
            <w:tcW w:w="1605" w:type="dxa"/>
            <w:tcBorders>
              <w:top w:val="single" w:sz="4" w:space="0" w:color="FFFFFF"/>
              <w:left w:val="single" w:sz="4" w:space="0" w:color="FFFFFF"/>
              <w:bottom w:val="single" w:sz="4" w:space="0" w:color="FFFFFF"/>
              <w:right w:val="nil"/>
            </w:tcBorders>
            <w:shd w:val="clear" w:color="auto" w:fill="D9E1F2"/>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Bristol Town Plan</w:t>
            </w:r>
          </w:p>
        </w:tc>
      </w:tr>
      <w:tr w:rsidR="00C50CE0">
        <w:trPr>
          <w:trHeight w:val="3300"/>
        </w:trPr>
        <w:tc>
          <w:tcPr>
            <w:tcW w:w="2548" w:type="dxa"/>
            <w:tcBorders>
              <w:top w:val="single" w:sz="4" w:space="0" w:color="FFFFFF"/>
              <w:left w:val="nil"/>
              <w:bottom w:val="single" w:sz="4" w:space="0" w:color="FFFFFF"/>
              <w:right w:val="single" w:sz="4" w:space="0" w:color="FFFFFF"/>
            </w:tcBorders>
            <w:shd w:val="clear" w:color="auto" w:fill="D9E1F2"/>
            <w:tcMar>
              <w:top w:w="80" w:type="dxa"/>
              <w:left w:w="80" w:type="dxa"/>
              <w:bottom w:w="80" w:type="dxa"/>
              <w:right w:w="80" w:type="dxa"/>
            </w:tcMar>
            <w:vAlign w:val="center"/>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rPr>
              <w:lastRenderedPageBreak/>
              <w:t>Highest Priority Forest Blocks</w:t>
            </w:r>
          </w:p>
        </w:tc>
        <w:tc>
          <w:tcPr>
            <w:tcW w:w="5205" w:type="dxa"/>
            <w:tcBorders>
              <w:top w:val="single" w:sz="4" w:space="0" w:color="FFFFFF"/>
              <w:left w:val="single" w:sz="4" w:space="0" w:color="FFFFFF"/>
              <w:bottom w:val="single" w:sz="4" w:space="0" w:color="FFFFFF"/>
              <w:right w:val="single" w:sz="4" w:space="0" w:color="FFFFFF"/>
            </w:tcBorders>
            <w:shd w:val="clear" w:color="auto" w:fill="D9E1F2"/>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 xml:space="preserve">The lands and waters identified here are the </w:t>
            </w:r>
            <w:r>
              <w:rPr>
                <w:color w:val="000000"/>
              </w:rPr>
              <w:br/>
              <w:t xml:space="preserve">areas of the state that are of highest priority for maintaining ecological integrity. Together, these lands comprise a connected landscape of large and intact forested habitat, healthy aquatic and riparian systems, and a full range of physical features (bedrock, soils, elevation, slope, and aspect) on which plant and animal natural communities depend. The inclusion of this resource as a regional constraint is consistent with goals and policies of the </w:t>
            </w:r>
            <w:r>
              <w:t xml:space="preserve">Addison County </w:t>
            </w:r>
            <w:r>
              <w:rPr>
                <w:color w:val="000000"/>
              </w:rPr>
              <w:t xml:space="preserve">Regional Plan. </w:t>
            </w:r>
          </w:p>
        </w:tc>
        <w:tc>
          <w:tcPr>
            <w:tcW w:w="1605" w:type="dxa"/>
            <w:tcBorders>
              <w:top w:val="single" w:sz="4" w:space="0" w:color="FFFFFF"/>
              <w:left w:val="single" w:sz="4" w:space="0" w:color="FFFFFF"/>
              <w:bottom w:val="single" w:sz="4" w:space="0" w:color="FFFFFF"/>
              <w:right w:val="nil"/>
            </w:tcBorders>
            <w:shd w:val="clear" w:color="auto" w:fill="D9E1F2"/>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t xml:space="preserve">VT </w:t>
            </w:r>
            <w:r>
              <w:rPr>
                <w:color w:val="000000"/>
              </w:rPr>
              <w:t>ANR</w:t>
            </w:r>
          </w:p>
        </w:tc>
      </w:tr>
      <w:tr w:rsidR="00C50CE0">
        <w:trPr>
          <w:trHeight w:val="1200"/>
        </w:trPr>
        <w:tc>
          <w:tcPr>
            <w:tcW w:w="2548" w:type="dxa"/>
            <w:tcBorders>
              <w:top w:val="single" w:sz="4" w:space="0" w:color="FFFFFF"/>
              <w:left w:val="nil"/>
              <w:bottom w:val="single" w:sz="4" w:space="0" w:color="FFFFFF"/>
              <w:right w:val="single" w:sz="4" w:space="0" w:color="FFFFFF"/>
            </w:tcBorders>
            <w:shd w:val="clear" w:color="auto" w:fill="B4C6E7"/>
            <w:tcMar>
              <w:top w:w="80" w:type="dxa"/>
              <w:left w:w="80" w:type="dxa"/>
              <w:bottom w:w="80" w:type="dxa"/>
              <w:right w:w="80" w:type="dxa"/>
            </w:tcMar>
            <w:vAlign w:val="center"/>
          </w:tcPr>
          <w:p w:rsidR="00C50CE0" w:rsidRDefault="0032395E">
            <w:pPr>
              <w:jc w:val="center"/>
              <w:rPr>
                <w:rFonts w:ascii="Calibri" w:eastAsia="Calibri" w:hAnsi="Calibri" w:cs="Calibri"/>
                <w:color w:val="000000"/>
                <w:sz w:val="22"/>
                <w:szCs w:val="22"/>
              </w:rPr>
            </w:pPr>
            <w:r>
              <w:rPr>
                <w:b/>
              </w:rPr>
              <w:t>Protected lands</w:t>
            </w:r>
          </w:p>
        </w:tc>
        <w:tc>
          <w:tcPr>
            <w:tcW w:w="5205" w:type="dxa"/>
            <w:tcBorders>
              <w:top w:val="single" w:sz="4" w:space="0" w:color="FFFFFF"/>
              <w:left w:val="single" w:sz="4" w:space="0" w:color="FFFFFF"/>
              <w:bottom w:val="single" w:sz="4" w:space="0" w:color="FFFFFF"/>
              <w:right w:val="single" w:sz="4" w:space="0" w:color="FFFFFF"/>
            </w:tcBorders>
            <w:shd w:val="clear" w:color="auto" w:fill="B4C6E7"/>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 xml:space="preserve">This constraint includes public lands held by agencies with conservation or natural resource oriented missions, municipal natural resource holdings (ex. Town forests), public boating and fishing access areas, public and private educational institution holdings with natural resource uses and protections, publicly owned rights on private lands, parcels owned in fee by non-profit organizations dedicated to conserving land or resources, and private parcels with conservation easements held by non-profit organizations. </w:t>
            </w:r>
          </w:p>
        </w:tc>
        <w:tc>
          <w:tcPr>
            <w:tcW w:w="1605" w:type="dxa"/>
            <w:tcBorders>
              <w:top w:val="single" w:sz="4" w:space="0" w:color="FFFFFF"/>
              <w:left w:val="single" w:sz="4" w:space="0" w:color="FFFFFF"/>
              <w:bottom w:val="single" w:sz="4" w:space="0" w:color="FFFFFF"/>
              <w:right w:val="nil"/>
            </w:tcBorders>
            <w:shd w:val="clear" w:color="auto" w:fill="B4C6E7"/>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VCGI</w:t>
            </w:r>
          </w:p>
        </w:tc>
      </w:tr>
      <w:tr w:rsidR="00C50CE0">
        <w:trPr>
          <w:trHeight w:val="300"/>
        </w:trPr>
        <w:tc>
          <w:tcPr>
            <w:tcW w:w="9358" w:type="dxa"/>
            <w:gridSpan w:val="3"/>
            <w:tcBorders>
              <w:top w:val="nil"/>
              <w:left w:val="nil"/>
              <w:bottom w:val="nil"/>
              <w:right w:val="nil"/>
            </w:tcBorders>
            <w:shd w:val="clear" w:color="auto" w:fill="4472C4"/>
            <w:tcMar>
              <w:top w:w="80" w:type="dxa"/>
              <w:left w:w="80" w:type="dxa"/>
              <w:bottom w:w="80" w:type="dxa"/>
              <w:right w:w="80" w:type="dxa"/>
            </w:tcMar>
            <w:vAlign w:val="bottom"/>
          </w:tcPr>
          <w:p w:rsidR="00C50CE0" w:rsidRDefault="00C50CE0"/>
        </w:tc>
      </w:tr>
    </w:tbl>
    <w:p w:rsidR="00C50CE0" w:rsidRDefault="00C50CE0">
      <w:pPr>
        <w:widowControl w:val="0"/>
        <w:pBdr>
          <w:top w:val="nil"/>
          <w:left w:val="nil"/>
          <w:bottom w:val="nil"/>
          <w:right w:val="nil"/>
          <w:between w:val="nil"/>
        </w:pBdr>
        <w:rPr>
          <w:b/>
          <w:color w:val="548DD4"/>
          <w:u w:val="single"/>
        </w:rP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pBdr>
          <w:top w:val="nil"/>
          <w:left w:val="nil"/>
          <w:bottom w:val="nil"/>
          <w:right w:val="nil"/>
          <w:between w:val="nil"/>
        </w:pBdr>
      </w:pPr>
    </w:p>
    <w:p w:rsidR="00C50CE0" w:rsidRDefault="00C50CE0">
      <w:pPr>
        <w:widowControl w:val="0"/>
        <w:pBdr>
          <w:top w:val="nil"/>
          <w:left w:val="nil"/>
          <w:bottom w:val="nil"/>
          <w:right w:val="nil"/>
          <w:between w:val="nil"/>
        </w:pBdr>
        <w:rPr>
          <w:b/>
          <w:color w:val="4F81BD"/>
        </w:rPr>
      </w:pPr>
    </w:p>
    <w:tbl>
      <w:tblPr>
        <w:tblStyle w:val="ab"/>
        <w:tblW w:w="93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543"/>
        <w:gridCol w:w="5268"/>
        <w:gridCol w:w="1547"/>
      </w:tblGrid>
      <w:tr w:rsidR="00C50CE0">
        <w:trPr>
          <w:trHeight w:val="280"/>
        </w:trPr>
        <w:tc>
          <w:tcPr>
            <w:tcW w:w="9358" w:type="dxa"/>
            <w:gridSpan w:val="3"/>
            <w:tcBorders>
              <w:top w:val="nil"/>
              <w:left w:val="nil"/>
              <w:bottom w:val="nil"/>
              <w:right w:val="nil"/>
            </w:tcBorders>
            <w:shd w:val="clear" w:color="auto" w:fill="4472C4"/>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rPr>
              <w:lastRenderedPageBreak/>
              <w:t xml:space="preserve">Table 9B. Possible Mapping Constraints for Solar, Wind and Biomass </w:t>
            </w:r>
          </w:p>
        </w:tc>
      </w:tr>
      <w:tr w:rsidR="00C50CE0">
        <w:trPr>
          <w:trHeight w:val="280"/>
        </w:trPr>
        <w:tc>
          <w:tcPr>
            <w:tcW w:w="2543" w:type="dxa"/>
            <w:tcBorders>
              <w:top w:val="nil"/>
              <w:left w:val="nil"/>
              <w:bottom w:val="single" w:sz="4" w:space="0" w:color="FFFFFF"/>
              <w:right w:val="single" w:sz="4" w:space="0" w:color="FFFFFF"/>
            </w:tcBorders>
            <w:shd w:val="clear" w:color="auto" w:fill="4472C4"/>
            <w:tcMar>
              <w:top w:w="80" w:type="dxa"/>
              <w:left w:w="80" w:type="dxa"/>
              <w:bottom w:w="80" w:type="dxa"/>
              <w:right w:w="80" w:type="dxa"/>
            </w:tcMar>
            <w:vAlign w:val="center"/>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Constraint</w:t>
            </w:r>
          </w:p>
        </w:tc>
        <w:tc>
          <w:tcPr>
            <w:tcW w:w="5268" w:type="dxa"/>
            <w:tcBorders>
              <w:top w:val="nil"/>
              <w:left w:val="single" w:sz="4" w:space="0" w:color="FFFFFF"/>
              <w:bottom w:val="single" w:sz="4" w:space="0" w:color="FFFFFF"/>
              <w:right w:val="single" w:sz="4" w:space="0" w:color="FFFFFF"/>
            </w:tcBorders>
            <w:shd w:val="clear" w:color="auto" w:fill="4472C4"/>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Description</w:t>
            </w:r>
          </w:p>
        </w:tc>
        <w:tc>
          <w:tcPr>
            <w:tcW w:w="1547" w:type="dxa"/>
            <w:tcBorders>
              <w:top w:val="nil"/>
              <w:left w:val="single" w:sz="4" w:space="0" w:color="FFFFFF"/>
              <w:bottom w:val="single" w:sz="4" w:space="0" w:color="FFFFFF"/>
              <w:right w:val="nil"/>
            </w:tcBorders>
            <w:shd w:val="clear" w:color="auto" w:fill="4472C4"/>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Source</w:t>
            </w:r>
          </w:p>
        </w:tc>
      </w:tr>
      <w:tr w:rsidR="00C50CE0">
        <w:trPr>
          <w:trHeight w:val="720"/>
        </w:trPr>
        <w:tc>
          <w:tcPr>
            <w:tcW w:w="2543" w:type="dxa"/>
            <w:tcBorders>
              <w:top w:val="single" w:sz="4" w:space="0" w:color="FFFFFF"/>
              <w:left w:val="nil"/>
              <w:bottom w:val="single" w:sz="4" w:space="0" w:color="FFFFFF"/>
              <w:right w:val="single" w:sz="4" w:space="0" w:color="FFFFFF"/>
            </w:tcBorders>
            <w:shd w:val="clear" w:color="auto" w:fill="B4C6E7"/>
            <w:tcMar>
              <w:top w:w="80" w:type="dxa"/>
              <w:left w:w="80" w:type="dxa"/>
              <w:bottom w:w="80" w:type="dxa"/>
              <w:right w:w="80" w:type="dxa"/>
            </w:tcMar>
            <w:vAlign w:val="center"/>
          </w:tcPr>
          <w:p w:rsidR="00C50CE0" w:rsidRDefault="0032395E">
            <w:pPr>
              <w:jc w:val="center"/>
              <w:rPr>
                <w:rFonts w:ascii="Calibri" w:eastAsia="Calibri" w:hAnsi="Calibri" w:cs="Calibri"/>
                <w:color w:val="000000"/>
                <w:sz w:val="22"/>
                <w:szCs w:val="22"/>
              </w:rPr>
            </w:pPr>
            <w:r>
              <w:rPr>
                <w:b/>
              </w:rPr>
              <w:t>Agricultural soils</w:t>
            </w:r>
          </w:p>
        </w:tc>
        <w:tc>
          <w:tcPr>
            <w:tcW w:w="5268" w:type="dxa"/>
            <w:tcBorders>
              <w:top w:val="single" w:sz="4" w:space="0" w:color="FFFFFF"/>
              <w:left w:val="single" w:sz="4" w:space="0" w:color="FFFFFF"/>
              <w:bottom w:val="single" w:sz="4" w:space="0" w:color="FFFFFF"/>
              <w:right w:val="single" w:sz="4" w:space="0" w:color="FFFFFF"/>
            </w:tcBorders>
            <w:shd w:val="clear" w:color="auto" w:fill="B4C6E7"/>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 xml:space="preserve"> </w:t>
            </w:r>
            <w:r>
              <w:t>Local, statewide, and prime agricultural soils are considered.</w:t>
            </w:r>
          </w:p>
        </w:tc>
        <w:tc>
          <w:tcPr>
            <w:tcW w:w="1547" w:type="dxa"/>
            <w:tcBorders>
              <w:top w:val="single" w:sz="4" w:space="0" w:color="FFFFFF"/>
              <w:left w:val="single" w:sz="4" w:space="0" w:color="FFFFFF"/>
              <w:bottom w:val="single" w:sz="4" w:space="0" w:color="FFFFFF"/>
              <w:right w:val="nil"/>
            </w:tcBorders>
            <w:shd w:val="clear" w:color="auto" w:fill="B4C6E7"/>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VCGI</w:t>
            </w:r>
          </w:p>
        </w:tc>
      </w:tr>
      <w:tr w:rsidR="00C50CE0">
        <w:trPr>
          <w:trHeight w:val="1740"/>
        </w:trPr>
        <w:tc>
          <w:tcPr>
            <w:tcW w:w="2543" w:type="dxa"/>
            <w:tcBorders>
              <w:top w:val="single" w:sz="4" w:space="0" w:color="FFFFFF"/>
              <w:left w:val="nil"/>
              <w:bottom w:val="single" w:sz="4" w:space="0" w:color="FFFFFF"/>
              <w:right w:val="single" w:sz="4" w:space="0" w:color="FFFFFF"/>
            </w:tcBorders>
            <w:shd w:val="clear" w:color="auto" w:fill="D9E1F2"/>
            <w:tcMar>
              <w:top w:w="80" w:type="dxa"/>
              <w:left w:w="80" w:type="dxa"/>
              <w:bottom w:w="80" w:type="dxa"/>
              <w:right w:w="80" w:type="dxa"/>
            </w:tcMar>
            <w:vAlign w:val="center"/>
          </w:tcPr>
          <w:p w:rsidR="00C50CE0" w:rsidRDefault="0032395E">
            <w:pPr>
              <w:pBdr>
                <w:top w:val="nil"/>
                <w:left w:val="nil"/>
                <w:bottom w:val="nil"/>
                <w:right w:val="nil"/>
                <w:between w:val="nil"/>
              </w:pBdr>
              <w:jc w:val="center"/>
              <w:rPr>
                <w:b/>
              </w:rPr>
            </w:pPr>
            <w:r>
              <w:rPr>
                <w:b/>
              </w:rPr>
              <w:t>FEMA Flood Insurance Rate Map (FIRM) special flood hazard areas</w:t>
            </w:r>
          </w:p>
          <w:p w:rsidR="00C50CE0" w:rsidRDefault="00C50CE0">
            <w:pPr>
              <w:pBdr>
                <w:top w:val="nil"/>
                <w:left w:val="nil"/>
                <w:bottom w:val="nil"/>
                <w:right w:val="nil"/>
                <w:between w:val="nil"/>
              </w:pBdr>
              <w:jc w:val="center"/>
              <w:rPr>
                <w:b/>
              </w:rPr>
            </w:pPr>
          </w:p>
          <w:p w:rsidR="00C50CE0" w:rsidRDefault="00C50CE0">
            <w:pPr>
              <w:pBdr>
                <w:top w:val="nil"/>
                <w:left w:val="nil"/>
                <w:bottom w:val="nil"/>
                <w:right w:val="nil"/>
                <w:between w:val="nil"/>
              </w:pBdr>
              <w:jc w:val="center"/>
              <w:rPr>
                <w:rFonts w:ascii="Calibri" w:eastAsia="Calibri" w:hAnsi="Calibri" w:cs="Calibri"/>
                <w:color w:val="000000"/>
                <w:sz w:val="22"/>
                <w:szCs w:val="22"/>
              </w:rPr>
            </w:pPr>
          </w:p>
        </w:tc>
        <w:tc>
          <w:tcPr>
            <w:tcW w:w="5268" w:type="dxa"/>
            <w:tcBorders>
              <w:top w:val="single" w:sz="4" w:space="0" w:color="FFFFFF"/>
              <w:left w:val="single" w:sz="4" w:space="0" w:color="FFFFFF"/>
              <w:bottom w:val="single" w:sz="4" w:space="0" w:color="FFFFFF"/>
              <w:right w:val="single" w:sz="4" w:space="0" w:color="FFFFFF"/>
            </w:tcBorders>
            <w:shd w:val="clear" w:color="auto" w:fill="D9E1F2"/>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t xml:space="preserve">Special flood hazard areas as digitized by the </w:t>
            </w:r>
            <w:r>
              <w:br/>
              <w:t>NRPC were used (just the 100-year flood plain -500-year floodplain not mapped). The inclusion of this resource as a regional constraint is consistent with goals and policies of the Northwest Regional Plan.</w:t>
            </w:r>
          </w:p>
        </w:tc>
        <w:tc>
          <w:tcPr>
            <w:tcW w:w="1547" w:type="dxa"/>
            <w:tcBorders>
              <w:top w:val="single" w:sz="4" w:space="0" w:color="FFFFFF"/>
              <w:left w:val="single" w:sz="4" w:space="0" w:color="FFFFFF"/>
              <w:bottom w:val="single" w:sz="4" w:space="0" w:color="FFFFFF"/>
              <w:right w:val="nil"/>
            </w:tcBorders>
            <w:shd w:val="clear" w:color="auto" w:fill="D9E1F2"/>
            <w:tcMar>
              <w:top w:w="80" w:type="dxa"/>
              <w:left w:w="80" w:type="dxa"/>
              <w:bottom w:w="80" w:type="dxa"/>
              <w:right w:w="80" w:type="dxa"/>
            </w:tcMar>
            <w:vAlign w:val="bottom"/>
          </w:tcPr>
          <w:p w:rsidR="00C50CE0" w:rsidRDefault="0032395E">
            <w:pPr>
              <w:pBdr>
                <w:top w:val="nil"/>
                <w:left w:val="nil"/>
                <w:bottom w:val="nil"/>
                <w:right w:val="nil"/>
                <w:between w:val="nil"/>
              </w:pBdr>
            </w:pPr>
            <w:r>
              <w:t>FEMA, ACRPC</w:t>
            </w:r>
          </w:p>
          <w:p w:rsidR="00C50CE0" w:rsidRDefault="00C50CE0">
            <w:pPr>
              <w:pBdr>
                <w:top w:val="nil"/>
                <w:left w:val="nil"/>
                <w:bottom w:val="nil"/>
                <w:right w:val="nil"/>
                <w:between w:val="nil"/>
              </w:pBdr>
            </w:pPr>
          </w:p>
          <w:p w:rsidR="00C50CE0" w:rsidRDefault="00C50CE0">
            <w:pPr>
              <w:pBdr>
                <w:top w:val="nil"/>
                <w:left w:val="nil"/>
                <w:bottom w:val="nil"/>
                <w:right w:val="nil"/>
                <w:between w:val="nil"/>
              </w:pBdr>
              <w:rPr>
                <w:rFonts w:ascii="Calibri" w:eastAsia="Calibri" w:hAnsi="Calibri" w:cs="Calibri"/>
                <w:color w:val="000000"/>
                <w:sz w:val="22"/>
                <w:szCs w:val="22"/>
              </w:rPr>
            </w:pPr>
          </w:p>
        </w:tc>
      </w:tr>
      <w:tr w:rsidR="00C50CE0">
        <w:trPr>
          <w:trHeight w:val="500"/>
        </w:trPr>
        <w:tc>
          <w:tcPr>
            <w:tcW w:w="2543" w:type="dxa"/>
            <w:tcBorders>
              <w:top w:val="single" w:sz="4" w:space="0" w:color="FFFFFF"/>
              <w:left w:val="nil"/>
              <w:bottom w:val="single" w:sz="4" w:space="0" w:color="FFFFFF"/>
              <w:right w:val="single" w:sz="4" w:space="0" w:color="FFFFFF"/>
            </w:tcBorders>
            <w:shd w:val="clear" w:color="auto" w:fill="B4C6E7"/>
            <w:tcMar>
              <w:top w:w="80" w:type="dxa"/>
              <w:left w:w="80" w:type="dxa"/>
              <w:bottom w:w="80" w:type="dxa"/>
              <w:right w:w="80" w:type="dxa"/>
            </w:tcMar>
            <w:vAlign w:val="center"/>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rPr>
              <w:t>Act 250 Agricultural Soil Mitigation Areas</w:t>
            </w:r>
          </w:p>
        </w:tc>
        <w:tc>
          <w:tcPr>
            <w:tcW w:w="5268" w:type="dxa"/>
            <w:tcBorders>
              <w:top w:val="single" w:sz="4" w:space="0" w:color="FFFFFF"/>
              <w:left w:val="single" w:sz="4" w:space="0" w:color="FFFFFF"/>
              <w:bottom w:val="single" w:sz="4" w:space="0" w:color="FFFFFF"/>
              <w:right w:val="single" w:sz="4" w:space="0" w:color="FFFFFF"/>
            </w:tcBorders>
            <w:shd w:val="clear" w:color="auto" w:fill="B4C6E7"/>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Sites conserved as a condition of an Act 250 permit.</w:t>
            </w:r>
          </w:p>
        </w:tc>
        <w:tc>
          <w:tcPr>
            <w:tcW w:w="1547" w:type="dxa"/>
            <w:tcBorders>
              <w:top w:val="single" w:sz="4" w:space="0" w:color="FFFFFF"/>
              <w:left w:val="single" w:sz="4" w:space="0" w:color="FFFFFF"/>
              <w:bottom w:val="single" w:sz="4" w:space="0" w:color="FFFFFF"/>
              <w:right w:val="nil"/>
            </w:tcBorders>
            <w:shd w:val="clear" w:color="auto" w:fill="B4C6E7"/>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VCGI</w:t>
            </w:r>
          </w:p>
        </w:tc>
      </w:tr>
      <w:tr w:rsidR="00C50CE0">
        <w:trPr>
          <w:trHeight w:val="640"/>
        </w:trPr>
        <w:tc>
          <w:tcPr>
            <w:tcW w:w="2543" w:type="dxa"/>
            <w:tcBorders>
              <w:top w:val="single" w:sz="4" w:space="0" w:color="FFFFFF"/>
              <w:left w:val="nil"/>
              <w:bottom w:val="single" w:sz="4" w:space="0" w:color="FFFFFF"/>
              <w:right w:val="single" w:sz="4" w:space="0" w:color="FFFFFF"/>
            </w:tcBorders>
            <w:shd w:val="clear" w:color="auto" w:fill="D9E1F2"/>
            <w:tcMar>
              <w:top w:w="80" w:type="dxa"/>
              <w:left w:w="80" w:type="dxa"/>
              <w:bottom w:w="80" w:type="dxa"/>
              <w:right w:w="80" w:type="dxa"/>
            </w:tcMar>
            <w:vAlign w:val="center"/>
          </w:tcPr>
          <w:p w:rsidR="00C50CE0" w:rsidRDefault="0032395E">
            <w:pPr>
              <w:jc w:val="center"/>
              <w:rPr>
                <w:rFonts w:ascii="Calibri" w:eastAsia="Calibri" w:hAnsi="Calibri" w:cs="Calibri"/>
                <w:color w:val="000000"/>
                <w:sz w:val="22"/>
                <w:szCs w:val="22"/>
              </w:rPr>
            </w:pPr>
            <w:r>
              <w:rPr>
                <w:b/>
              </w:rPr>
              <w:t>Deer wintering areas</w:t>
            </w:r>
          </w:p>
        </w:tc>
        <w:tc>
          <w:tcPr>
            <w:tcW w:w="5268" w:type="dxa"/>
            <w:tcBorders>
              <w:top w:val="single" w:sz="4" w:space="0" w:color="FFFFFF"/>
              <w:left w:val="single" w:sz="4" w:space="0" w:color="FFFFFF"/>
              <w:bottom w:val="single" w:sz="4" w:space="0" w:color="FFFFFF"/>
              <w:right w:val="single" w:sz="4" w:space="0" w:color="FFFFFF"/>
            </w:tcBorders>
            <w:shd w:val="clear" w:color="auto" w:fill="D9E1F2"/>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Deer wintering habitat as identified by the Vermont Agency of Natural Resources.</w:t>
            </w:r>
          </w:p>
        </w:tc>
        <w:tc>
          <w:tcPr>
            <w:tcW w:w="1547" w:type="dxa"/>
            <w:tcBorders>
              <w:top w:val="single" w:sz="4" w:space="0" w:color="FFFFFF"/>
              <w:left w:val="single" w:sz="4" w:space="0" w:color="FFFFFF"/>
              <w:bottom w:val="single" w:sz="4" w:space="0" w:color="FFFFFF"/>
              <w:right w:val="nil"/>
            </w:tcBorders>
            <w:shd w:val="clear" w:color="auto" w:fill="D9E1F2"/>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ANR</w:t>
            </w:r>
          </w:p>
        </w:tc>
      </w:tr>
      <w:tr w:rsidR="00C50CE0">
        <w:trPr>
          <w:trHeight w:val="960"/>
        </w:trPr>
        <w:tc>
          <w:tcPr>
            <w:tcW w:w="2543" w:type="dxa"/>
            <w:tcBorders>
              <w:top w:val="single" w:sz="4" w:space="0" w:color="FFFFFF"/>
              <w:left w:val="nil"/>
              <w:bottom w:val="single" w:sz="4" w:space="0" w:color="FFFFFF"/>
              <w:right w:val="single" w:sz="4" w:space="0" w:color="FFFFFF"/>
            </w:tcBorders>
            <w:shd w:val="clear" w:color="auto" w:fill="B4C6E7"/>
            <w:tcMar>
              <w:top w:w="80" w:type="dxa"/>
              <w:left w:w="80" w:type="dxa"/>
              <w:bottom w:w="80" w:type="dxa"/>
              <w:right w:w="80" w:type="dxa"/>
            </w:tcMar>
            <w:vAlign w:val="center"/>
          </w:tcPr>
          <w:p w:rsidR="00C50CE0" w:rsidRDefault="0032395E">
            <w:pPr>
              <w:jc w:val="center"/>
              <w:rPr>
                <w:rFonts w:ascii="Calibri" w:eastAsia="Calibri" w:hAnsi="Calibri" w:cs="Calibri"/>
                <w:color w:val="000000"/>
                <w:sz w:val="22"/>
                <w:szCs w:val="22"/>
              </w:rPr>
            </w:pPr>
            <w:r>
              <w:rPr>
                <w:b/>
              </w:rPr>
              <w:t>Hydric soils</w:t>
            </w:r>
          </w:p>
        </w:tc>
        <w:tc>
          <w:tcPr>
            <w:tcW w:w="5268" w:type="dxa"/>
            <w:tcBorders>
              <w:top w:val="single" w:sz="4" w:space="0" w:color="FFFFFF"/>
              <w:left w:val="single" w:sz="4" w:space="0" w:color="FFFFFF"/>
              <w:bottom w:val="single" w:sz="4" w:space="0" w:color="FFFFFF"/>
              <w:right w:val="single" w:sz="4" w:space="0" w:color="FFFFFF"/>
            </w:tcBorders>
            <w:shd w:val="clear" w:color="auto" w:fill="B4C6E7"/>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Hydric soils as identified by the US Department of Agriculture.</w:t>
            </w:r>
          </w:p>
        </w:tc>
        <w:tc>
          <w:tcPr>
            <w:tcW w:w="1547" w:type="dxa"/>
            <w:tcBorders>
              <w:top w:val="single" w:sz="4" w:space="0" w:color="FFFFFF"/>
              <w:left w:val="single" w:sz="4" w:space="0" w:color="FFFFFF"/>
              <w:bottom w:val="single" w:sz="4" w:space="0" w:color="FFFFFF"/>
              <w:right w:val="nil"/>
            </w:tcBorders>
            <w:shd w:val="clear" w:color="auto" w:fill="B4C6E7"/>
            <w:tcMar>
              <w:top w:w="80" w:type="dxa"/>
              <w:left w:w="80" w:type="dxa"/>
              <w:bottom w:w="80" w:type="dxa"/>
              <w:right w:w="80" w:type="dxa"/>
            </w:tcMar>
            <w:vAlign w:val="bottom"/>
          </w:tcPr>
          <w:p w:rsidR="00C50CE0" w:rsidRDefault="0032395E">
            <w:pPr>
              <w:rPr>
                <w:rFonts w:ascii="Calibri" w:eastAsia="Calibri" w:hAnsi="Calibri" w:cs="Calibri"/>
                <w:color w:val="000000"/>
                <w:sz w:val="22"/>
                <w:szCs w:val="22"/>
              </w:rPr>
            </w:pPr>
            <w:r>
              <w:t>VCGI</w:t>
            </w:r>
          </w:p>
        </w:tc>
      </w:tr>
    </w:tbl>
    <w:p w:rsidR="00C50CE0" w:rsidRDefault="00C50CE0">
      <w:pPr>
        <w:widowControl w:val="0"/>
        <w:pBdr>
          <w:top w:val="nil"/>
          <w:left w:val="nil"/>
          <w:bottom w:val="nil"/>
          <w:right w:val="nil"/>
          <w:between w:val="nil"/>
        </w:pBdr>
        <w:rPr>
          <w:b/>
          <w:color w:val="4F81BD"/>
        </w:rPr>
      </w:pP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 xml:space="preserve">At the end of the mapping exercise, ACRPC calculated the amount of renewable resource generation possible in Bristol based upon the maps and some assumed values for the amount of land it took to produce specified amounts of solar and wind energy. The results of this analysis are depicted in Table 10, Renewable Generation Potential.  As the table demonstrates, the amount of renewable generation potential is substantial, especially when compared to the numbers of actual generation that currently exists in Bristol, contained in Table 8.   </w:t>
      </w:r>
    </w:p>
    <w:p w:rsidR="00C50CE0" w:rsidRDefault="0032395E">
      <w:pPr>
        <w:widowControl w:val="0"/>
        <w:pBdr>
          <w:top w:val="nil"/>
          <w:left w:val="nil"/>
          <w:bottom w:val="nil"/>
          <w:right w:val="nil"/>
          <w:between w:val="nil"/>
        </w:pBdr>
        <w:rPr>
          <w:b/>
          <w:color w:val="000000"/>
        </w:rPr>
      </w:pPr>
      <w:r>
        <w:rPr>
          <w:color w:val="000000"/>
        </w:rPr>
        <w:t xml:space="preserve">  </w:t>
      </w:r>
    </w:p>
    <w:tbl>
      <w:tblPr>
        <w:tblStyle w:val="ac"/>
        <w:tblW w:w="91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680"/>
        <w:gridCol w:w="1960"/>
        <w:gridCol w:w="2500"/>
      </w:tblGrid>
      <w:tr w:rsidR="00C50CE0">
        <w:trPr>
          <w:trHeight w:val="300"/>
        </w:trPr>
        <w:tc>
          <w:tcPr>
            <w:tcW w:w="4680" w:type="dxa"/>
            <w:tcBorders>
              <w:top w:val="single" w:sz="8" w:space="0" w:color="000000"/>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Table 10. Renewable Generation Potential</w:t>
            </w:r>
          </w:p>
        </w:tc>
        <w:tc>
          <w:tcPr>
            <w:tcW w:w="1960" w:type="dxa"/>
            <w:tcBorders>
              <w:top w:val="single" w:sz="8" w:space="0" w:color="000000"/>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MW</w:t>
            </w:r>
          </w:p>
        </w:tc>
        <w:tc>
          <w:tcPr>
            <w:tcW w:w="2500" w:type="dxa"/>
            <w:tcBorders>
              <w:top w:val="single" w:sz="8" w:space="0" w:color="000000"/>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FFFFFF"/>
              </w:rPr>
              <w:t>MWh</w:t>
            </w:r>
          </w:p>
        </w:tc>
      </w:tr>
      <w:tr w:rsidR="00C50CE0">
        <w:trPr>
          <w:trHeight w:val="300"/>
        </w:trPr>
        <w:tc>
          <w:tcPr>
            <w:tcW w:w="4680" w:type="dxa"/>
            <w:tcBorders>
              <w:top w:val="single" w:sz="4" w:space="0" w:color="FFFFFF"/>
              <w:left w:val="nil"/>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Rooftop Solar</w:t>
            </w:r>
          </w:p>
        </w:tc>
        <w:tc>
          <w:tcPr>
            <w:tcW w:w="196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10</w:t>
            </w:r>
          </w:p>
        </w:tc>
        <w:tc>
          <w:tcPr>
            <w:tcW w:w="250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12,350</w:t>
            </w:r>
          </w:p>
        </w:tc>
      </w:tr>
      <w:tr w:rsidR="00C50CE0">
        <w:trPr>
          <w:trHeight w:val="300"/>
        </w:trPr>
        <w:tc>
          <w:tcPr>
            <w:tcW w:w="4680" w:type="dxa"/>
            <w:tcBorders>
              <w:top w:val="single" w:sz="4" w:space="0" w:color="FFFFFF"/>
              <w:left w:val="nil"/>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Ground-mounted Solar</w:t>
            </w:r>
          </w:p>
        </w:tc>
        <w:tc>
          <w:tcPr>
            <w:tcW w:w="196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638</w:t>
            </w:r>
          </w:p>
        </w:tc>
        <w:tc>
          <w:tcPr>
            <w:tcW w:w="2500"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782,443</w:t>
            </w:r>
          </w:p>
        </w:tc>
      </w:tr>
      <w:tr w:rsidR="00C50CE0">
        <w:trPr>
          <w:trHeight w:val="300"/>
        </w:trPr>
        <w:tc>
          <w:tcPr>
            <w:tcW w:w="4680" w:type="dxa"/>
            <w:tcBorders>
              <w:top w:val="single" w:sz="4" w:space="0" w:color="FFFFFF"/>
              <w:left w:val="nil"/>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Wind</w:t>
            </w:r>
          </w:p>
        </w:tc>
        <w:tc>
          <w:tcPr>
            <w:tcW w:w="196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3,950</w:t>
            </w:r>
          </w:p>
        </w:tc>
        <w:tc>
          <w:tcPr>
            <w:tcW w:w="250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12,109,167</w:t>
            </w:r>
          </w:p>
        </w:tc>
      </w:tr>
      <w:tr w:rsidR="00C50CE0">
        <w:trPr>
          <w:trHeight w:val="300"/>
        </w:trPr>
        <w:tc>
          <w:tcPr>
            <w:tcW w:w="4680" w:type="dxa"/>
            <w:tcBorders>
              <w:top w:val="single" w:sz="4" w:space="0" w:color="FFFFFF"/>
              <w:left w:val="nil"/>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 xml:space="preserve">Hydro </w:t>
            </w:r>
          </w:p>
        </w:tc>
        <w:tc>
          <w:tcPr>
            <w:tcW w:w="196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0</w:t>
            </w:r>
          </w:p>
        </w:tc>
        <w:tc>
          <w:tcPr>
            <w:tcW w:w="2500"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0</w:t>
            </w:r>
          </w:p>
        </w:tc>
      </w:tr>
      <w:tr w:rsidR="00C50CE0">
        <w:trPr>
          <w:trHeight w:val="300"/>
        </w:trPr>
        <w:tc>
          <w:tcPr>
            <w:tcW w:w="4680" w:type="dxa"/>
            <w:tcBorders>
              <w:top w:val="single" w:sz="4" w:space="0" w:color="FFFFFF"/>
              <w:left w:val="nil"/>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Biomass and Methane</w:t>
            </w:r>
          </w:p>
        </w:tc>
        <w:tc>
          <w:tcPr>
            <w:tcW w:w="1960" w:type="dxa"/>
            <w:tcBorders>
              <w:top w:val="single" w:sz="4" w:space="0" w:color="FFFFFF"/>
              <w:left w:val="single" w:sz="4" w:space="0" w:color="FFFFFF"/>
              <w:bottom w:val="single" w:sz="4" w:space="0" w:color="FFFFFF"/>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0</w:t>
            </w:r>
          </w:p>
        </w:tc>
        <w:tc>
          <w:tcPr>
            <w:tcW w:w="2500" w:type="dxa"/>
            <w:tcBorders>
              <w:top w:val="single" w:sz="4" w:space="0" w:color="FFFFFF"/>
              <w:left w:val="single" w:sz="4" w:space="0" w:color="FFFFFF"/>
              <w:bottom w:val="single" w:sz="4" w:space="0" w:color="FFFFFF"/>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0</w:t>
            </w:r>
          </w:p>
        </w:tc>
      </w:tr>
      <w:tr w:rsidR="00C50CE0">
        <w:trPr>
          <w:trHeight w:val="300"/>
        </w:trPr>
        <w:tc>
          <w:tcPr>
            <w:tcW w:w="4680" w:type="dxa"/>
            <w:tcBorders>
              <w:top w:val="single" w:sz="4" w:space="0" w:color="FFFFFF"/>
              <w:left w:val="nil"/>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Other</w:t>
            </w:r>
          </w:p>
        </w:tc>
        <w:tc>
          <w:tcPr>
            <w:tcW w:w="1960" w:type="dxa"/>
            <w:tcBorders>
              <w:top w:val="single" w:sz="4" w:space="0" w:color="FFFFFF"/>
              <w:left w:val="single" w:sz="4" w:space="0" w:color="FFFFFF"/>
              <w:bottom w:val="single" w:sz="4" w:space="0" w:color="FFFFFF"/>
              <w:right w:val="single" w:sz="4" w:space="0" w:color="FFFFFF"/>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0</w:t>
            </w:r>
          </w:p>
        </w:tc>
        <w:tc>
          <w:tcPr>
            <w:tcW w:w="2500" w:type="dxa"/>
            <w:tcBorders>
              <w:top w:val="single" w:sz="4" w:space="0" w:color="FFFFFF"/>
              <w:left w:val="single" w:sz="4" w:space="0" w:color="FFFFFF"/>
              <w:bottom w:val="single" w:sz="4" w:space="0" w:color="FFFFFF"/>
              <w:right w:val="nil"/>
            </w:tcBorders>
            <w:shd w:val="clear" w:color="auto" w:fill="DCE6F1"/>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0</w:t>
            </w:r>
          </w:p>
        </w:tc>
      </w:tr>
      <w:tr w:rsidR="00C50CE0">
        <w:trPr>
          <w:trHeight w:val="280"/>
        </w:trPr>
        <w:tc>
          <w:tcPr>
            <w:tcW w:w="4680"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rPr>
              <w:t>Total Renewable Generation Potential</w:t>
            </w:r>
          </w:p>
        </w:tc>
        <w:tc>
          <w:tcPr>
            <w:tcW w:w="1960" w:type="dxa"/>
            <w:tcBorders>
              <w:top w:val="single" w:sz="4" w:space="0" w:color="FFFFFF"/>
              <w:left w:val="single" w:sz="4" w:space="0" w:color="FFFFFF"/>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4,598</w:t>
            </w:r>
          </w:p>
        </w:tc>
        <w:tc>
          <w:tcPr>
            <w:tcW w:w="2500" w:type="dxa"/>
            <w:tcBorders>
              <w:top w:val="single" w:sz="4" w:space="0" w:color="FFFFFF"/>
              <w:left w:val="single" w:sz="4" w:space="0" w:color="FFFFFF"/>
              <w:bottom w:val="nil"/>
              <w:right w:val="nil"/>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jc w:val="right"/>
              <w:rPr>
                <w:rFonts w:ascii="Calibri" w:eastAsia="Calibri" w:hAnsi="Calibri" w:cs="Calibri"/>
                <w:color w:val="000000"/>
                <w:sz w:val="22"/>
                <w:szCs w:val="22"/>
              </w:rPr>
            </w:pPr>
            <w:r>
              <w:rPr>
                <w:color w:val="000000"/>
              </w:rPr>
              <w:t>12,903,961</w:t>
            </w:r>
          </w:p>
        </w:tc>
      </w:tr>
    </w:tbl>
    <w:p w:rsidR="00C50CE0" w:rsidRDefault="00C50CE0">
      <w:pPr>
        <w:widowControl w:val="0"/>
        <w:pBdr>
          <w:top w:val="nil"/>
          <w:left w:val="nil"/>
          <w:bottom w:val="nil"/>
          <w:right w:val="nil"/>
          <w:between w:val="nil"/>
        </w:pBdr>
        <w:rPr>
          <w:b/>
          <w:color w:val="000000"/>
        </w:rPr>
      </w:pPr>
    </w:p>
    <w:p w:rsidR="00C50CE0" w:rsidRDefault="00C50CE0">
      <w:pPr>
        <w:pBdr>
          <w:top w:val="nil"/>
          <w:left w:val="nil"/>
          <w:bottom w:val="nil"/>
          <w:right w:val="nil"/>
          <w:between w:val="nil"/>
        </w:pBdr>
        <w:rPr>
          <w:b/>
          <w:color w:val="4F81BD"/>
        </w:rPr>
      </w:pPr>
    </w:p>
    <w:p w:rsidR="00C50CE0" w:rsidRDefault="00C50CE0">
      <w:pPr>
        <w:pBdr>
          <w:top w:val="nil"/>
          <w:left w:val="nil"/>
          <w:bottom w:val="nil"/>
          <w:right w:val="nil"/>
          <w:between w:val="nil"/>
        </w:pBdr>
        <w:rPr>
          <w:b/>
          <w:color w:val="4F81BD"/>
        </w:rPr>
      </w:pPr>
    </w:p>
    <w:p w:rsidR="00C50CE0" w:rsidRDefault="00C50CE0">
      <w:pPr>
        <w:pBdr>
          <w:top w:val="nil"/>
          <w:left w:val="nil"/>
          <w:bottom w:val="nil"/>
          <w:right w:val="nil"/>
          <w:between w:val="nil"/>
        </w:pBdr>
        <w:rPr>
          <w:b/>
          <w:color w:val="4F81BD"/>
        </w:rPr>
      </w:pPr>
    </w:p>
    <w:p w:rsidR="00C50CE0" w:rsidRDefault="00C50CE0">
      <w:pPr>
        <w:pBdr>
          <w:top w:val="nil"/>
          <w:left w:val="nil"/>
          <w:bottom w:val="nil"/>
          <w:right w:val="nil"/>
          <w:between w:val="nil"/>
        </w:pBdr>
        <w:rPr>
          <w:b/>
          <w:color w:val="4F81BD"/>
        </w:rPr>
      </w:pPr>
    </w:p>
    <w:p w:rsidR="00C50CE0" w:rsidRDefault="00C50CE0">
      <w:pPr>
        <w:pBdr>
          <w:top w:val="nil"/>
          <w:left w:val="nil"/>
          <w:bottom w:val="nil"/>
          <w:right w:val="nil"/>
          <w:between w:val="nil"/>
        </w:pBdr>
        <w:rPr>
          <w:b/>
          <w:color w:val="4F81BD"/>
        </w:rPr>
      </w:pPr>
    </w:p>
    <w:p w:rsidR="00C50CE0" w:rsidRDefault="00C50CE0">
      <w:pPr>
        <w:pBdr>
          <w:top w:val="nil"/>
          <w:left w:val="nil"/>
          <w:bottom w:val="nil"/>
          <w:right w:val="nil"/>
          <w:between w:val="nil"/>
        </w:pBdr>
        <w:rPr>
          <w:b/>
          <w:color w:val="4F81BD"/>
        </w:rPr>
      </w:pPr>
    </w:p>
    <w:p w:rsidR="00C50CE0" w:rsidRDefault="0032395E">
      <w:pPr>
        <w:pBdr>
          <w:top w:val="nil"/>
          <w:left w:val="nil"/>
          <w:bottom w:val="nil"/>
          <w:right w:val="nil"/>
          <w:between w:val="nil"/>
        </w:pBdr>
        <w:rPr>
          <w:color w:val="000000"/>
        </w:rPr>
      </w:pPr>
      <w:r>
        <w:rPr>
          <w:b/>
          <w:color w:val="4F81BD"/>
        </w:rPr>
        <w:t>Renewable Generation Targets</w:t>
      </w:r>
    </w:p>
    <w:p w:rsidR="00C50CE0" w:rsidRDefault="0032395E">
      <w:pPr>
        <w:pBdr>
          <w:top w:val="nil"/>
          <w:left w:val="nil"/>
          <w:bottom w:val="nil"/>
          <w:right w:val="nil"/>
          <w:between w:val="nil"/>
        </w:pBdr>
        <w:rPr>
          <w:color w:val="000000"/>
        </w:rPr>
      </w:pPr>
      <w:r>
        <w:rPr>
          <w:color w:val="000000"/>
        </w:rPr>
        <w:t>As part of the same exercise, DPS also provided Renewable generation targets that all municipalities would need to meet in the context of the State meeting its goal of producing half of its energy within the State.  Those goals for Bristol, shown in Table 1</w:t>
      </w:r>
      <w:r>
        <w:t xml:space="preserve">1 </w:t>
      </w:r>
      <w:r>
        <w:rPr>
          <w:color w:val="000000"/>
        </w:rPr>
        <w:t>below, are based upon a combination of Bristol</w:t>
      </w:r>
      <w:r>
        <w:rPr>
          <w:rFonts w:ascii="Calibri" w:eastAsia="Calibri" w:hAnsi="Calibri" w:cs="Calibri"/>
          <w:color w:val="000000"/>
        </w:rPr>
        <w:t>’</w:t>
      </w:r>
      <w:r>
        <w:rPr>
          <w:color w:val="000000"/>
        </w:rPr>
        <w:t xml:space="preserve">s population and to the amount of potential resources available in Bristol. </w:t>
      </w: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000000"/>
        </w:rPr>
      </w:pPr>
      <w:r>
        <w:rPr>
          <w:color w:val="000000"/>
        </w:rPr>
        <w:t>When one compares the goals in Table 11 with the potential in Table 10, it is readily clear, that at least theoretically, Bristol</w:t>
      </w:r>
      <w:r>
        <w:rPr>
          <w:rFonts w:ascii="Calibri" w:eastAsia="Calibri" w:hAnsi="Calibri" w:cs="Calibri"/>
          <w:color w:val="000000"/>
        </w:rPr>
        <w:t>’</w:t>
      </w:r>
      <w:r>
        <w:rPr>
          <w:color w:val="000000"/>
        </w:rPr>
        <w:t xml:space="preserve">s resource potential dwarfs its generation goals.  </w:t>
      </w:r>
    </w:p>
    <w:p w:rsidR="00C50CE0" w:rsidRDefault="00C50CE0">
      <w:pPr>
        <w:widowControl w:val="0"/>
        <w:pBdr>
          <w:top w:val="nil"/>
          <w:left w:val="nil"/>
          <w:bottom w:val="nil"/>
          <w:right w:val="nil"/>
          <w:between w:val="nil"/>
        </w:pBdr>
        <w:rPr>
          <w:b/>
          <w:color w:val="000000"/>
        </w:rPr>
      </w:pPr>
    </w:p>
    <w:tbl>
      <w:tblPr>
        <w:tblStyle w:val="ad"/>
        <w:tblW w:w="88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920"/>
        <w:gridCol w:w="1020"/>
        <w:gridCol w:w="1260"/>
        <w:gridCol w:w="1620"/>
      </w:tblGrid>
      <w:tr w:rsidR="00C50CE0">
        <w:trPr>
          <w:trHeight w:val="300"/>
        </w:trPr>
        <w:tc>
          <w:tcPr>
            <w:tcW w:w="4920" w:type="dxa"/>
            <w:tcBorders>
              <w:top w:val="single" w:sz="8" w:space="0" w:color="000000"/>
              <w:left w:val="nil"/>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b/>
                <w:color w:val="000000"/>
                <w:u w:val="single"/>
              </w:rPr>
              <w:t>Table 11. Renewable Generation Targets</w:t>
            </w:r>
          </w:p>
        </w:tc>
        <w:tc>
          <w:tcPr>
            <w:tcW w:w="1020" w:type="dxa"/>
            <w:tcBorders>
              <w:top w:val="single" w:sz="8" w:space="0" w:color="000000"/>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u w:val="single"/>
              </w:rPr>
              <w:t>2025</w:t>
            </w:r>
          </w:p>
        </w:tc>
        <w:tc>
          <w:tcPr>
            <w:tcW w:w="1260" w:type="dxa"/>
            <w:tcBorders>
              <w:top w:val="single" w:sz="8" w:space="0" w:color="000000"/>
              <w:left w:val="single" w:sz="4" w:space="0" w:color="FFFFFF"/>
              <w:bottom w:val="single" w:sz="4" w:space="0" w:color="FFFFFF"/>
              <w:right w:val="single" w:sz="4" w:space="0" w:color="FFFFFF"/>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u w:val="single"/>
              </w:rPr>
              <w:t>2035</w:t>
            </w:r>
          </w:p>
        </w:tc>
        <w:tc>
          <w:tcPr>
            <w:tcW w:w="1620" w:type="dxa"/>
            <w:tcBorders>
              <w:top w:val="single" w:sz="8" w:space="0" w:color="000000"/>
              <w:left w:val="single" w:sz="4" w:space="0" w:color="FFFFFF"/>
              <w:bottom w:val="single" w:sz="4" w:space="0" w:color="FFFFFF"/>
              <w:right w:val="nil"/>
            </w:tcBorders>
            <w:shd w:val="clear" w:color="auto" w:fill="4F81BD"/>
            <w:tcMar>
              <w:top w:w="80" w:type="dxa"/>
              <w:left w:w="80" w:type="dxa"/>
              <w:bottom w:w="80" w:type="dxa"/>
              <w:right w:w="80" w:type="dxa"/>
            </w:tcMar>
            <w:vAlign w:val="bottom"/>
          </w:tcPr>
          <w:p w:rsidR="00C50CE0" w:rsidRDefault="0032395E">
            <w:pPr>
              <w:pBdr>
                <w:top w:val="nil"/>
                <w:left w:val="nil"/>
                <w:bottom w:val="nil"/>
                <w:right w:val="nil"/>
                <w:between w:val="nil"/>
              </w:pBdr>
              <w:jc w:val="center"/>
              <w:rPr>
                <w:rFonts w:ascii="Calibri" w:eastAsia="Calibri" w:hAnsi="Calibri" w:cs="Calibri"/>
                <w:color w:val="000000"/>
                <w:sz w:val="22"/>
                <w:szCs w:val="22"/>
              </w:rPr>
            </w:pPr>
            <w:r>
              <w:rPr>
                <w:b/>
                <w:color w:val="000000"/>
                <w:u w:val="single"/>
              </w:rPr>
              <w:t>2050</w:t>
            </w:r>
          </w:p>
        </w:tc>
      </w:tr>
      <w:tr w:rsidR="00C50CE0">
        <w:trPr>
          <w:trHeight w:val="280"/>
        </w:trPr>
        <w:tc>
          <w:tcPr>
            <w:tcW w:w="4920"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color w:val="000000"/>
              </w:rPr>
            </w:pPr>
            <w:r>
              <w:t>Additional Renewable Generation Target (MWh)</w:t>
            </w:r>
          </w:p>
        </w:tc>
        <w:tc>
          <w:tcPr>
            <w:tcW w:w="1020" w:type="dxa"/>
            <w:tcBorders>
              <w:top w:val="single" w:sz="4" w:space="0" w:color="FFFFFF"/>
              <w:left w:val="single" w:sz="4" w:space="0" w:color="FFFFFF"/>
              <w:bottom w:val="nil"/>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4,463.14</w:t>
            </w:r>
          </w:p>
        </w:tc>
        <w:tc>
          <w:tcPr>
            <w:tcW w:w="1260" w:type="dxa"/>
            <w:tcBorders>
              <w:top w:val="single" w:sz="4" w:space="0" w:color="FFFFFF"/>
              <w:left w:val="single" w:sz="4" w:space="0" w:color="FFFFFF"/>
              <w:bottom w:val="nil"/>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8,926.28</w:t>
            </w:r>
          </w:p>
        </w:tc>
        <w:tc>
          <w:tcPr>
            <w:tcW w:w="1620" w:type="dxa"/>
            <w:tcBorders>
              <w:top w:val="single" w:sz="4" w:space="0" w:color="FFFFFF"/>
              <w:left w:val="single" w:sz="4" w:space="0" w:color="FFFFFF"/>
              <w:bottom w:val="nil"/>
              <w:right w:val="nil"/>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13,524.66</w:t>
            </w:r>
          </w:p>
        </w:tc>
      </w:tr>
      <w:tr w:rsidR="00C50CE0">
        <w:trPr>
          <w:trHeight w:val="280"/>
        </w:trPr>
        <w:tc>
          <w:tcPr>
            <w:tcW w:w="4920" w:type="dxa"/>
            <w:tcBorders>
              <w:top w:val="single" w:sz="4" w:space="0" w:color="FFFFFF"/>
              <w:left w:val="nil"/>
              <w:bottom w:val="nil"/>
              <w:right w:val="single" w:sz="4" w:space="0" w:color="FFFFFF"/>
            </w:tcBorders>
            <w:shd w:val="clear" w:color="auto" w:fill="B8CCE4"/>
            <w:tcMar>
              <w:top w:w="80" w:type="dxa"/>
              <w:left w:w="80" w:type="dxa"/>
              <w:bottom w:w="80" w:type="dxa"/>
              <w:right w:w="80" w:type="dxa"/>
            </w:tcMar>
            <w:vAlign w:val="bottom"/>
          </w:tcPr>
          <w:p w:rsidR="00C50CE0" w:rsidRDefault="0032395E">
            <w:pPr>
              <w:pBdr>
                <w:top w:val="nil"/>
                <w:left w:val="nil"/>
                <w:bottom w:val="nil"/>
                <w:right w:val="nil"/>
                <w:between w:val="nil"/>
              </w:pBdr>
              <w:rPr>
                <w:rFonts w:ascii="Calibri" w:eastAsia="Calibri" w:hAnsi="Calibri" w:cs="Calibri"/>
                <w:color w:val="000000"/>
                <w:sz w:val="22"/>
                <w:szCs w:val="22"/>
              </w:rPr>
            </w:pPr>
            <w:r>
              <w:rPr>
                <w:color w:val="000000"/>
              </w:rPr>
              <w:t xml:space="preserve">Total Renewable Generation Target </w:t>
            </w:r>
            <w:r>
              <w:t>(</w:t>
            </w:r>
            <w:r>
              <w:rPr>
                <w:color w:val="000000"/>
              </w:rPr>
              <w:t>MWh)</w:t>
            </w:r>
          </w:p>
        </w:tc>
        <w:tc>
          <w:tcPr>
            <w:tcW w:w="1020" w:type="dxa"/>
            <w:tcBorders>
              <w:top w:val="single" w:sz="4" w:space="0" w:color="FFFFFF"/>
              <w:left w:val="single" w:sz="4" w:space="0" w:color="FFFFFF"/>
              <w:bottom w:val="nil"/>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7,665.36</w:t>
            </w:r>
          </w:p>
        </w:tc>
        <w:tc>
          <w:tcPr>
            <w:tcW w:w="1260" w:type="dxa"/>
            <w:tcBorders>
              <w:top w:val="single" w:sz="4" w:space="0" w:color="FFFFFF"/>
              <w:left w:val="single" w:sz="4" w:space="0" w:color="FFFFFF"/>
              <w:bottom w:val="nil"/>
              <w:right w:val="single" w:sz="4" w:space="0" w:color="FFFFFF"/>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rPr>
                <w:color w:val="000000"/>
              </w:rPr>
            </w:pPr>
            <w:r>
              <w:t>12,128.49</w:t>
            </w:r>
          </w:p>
        </w:tc>
        <w:tc>
          <w:tcPr>
            <w:tcW w:w="1620" w:type="dxa"/>
            <w:tcBorders>
              <w:top w:val="single" w:sz="4" w:space="0" w:color="FFFFFF"/>
              <w:left w:val="single" w:sz="4" w:space="0" w:color="FFFFFF"/>
              <w:bottom w:val="nil"/>
              <w:right w:val="nil"/>
            </w:tcBorders>
            <w:shd w:val="clear" w:color="auto" w:fill="99CCFF"/>
            <w:tcMar>
              <w:top w:w="80" w:type="dxa"/>
              <w:left w:w="80" w:type="dxa"/>
              <w:bottom w:w="80" w:type="dxa"/>
              <w:right w:w="80" w:type="dxa"/>
            </w:tcMar>
            <w:vAlign w:val="bottom"/>
          </w:tcPr>
          <w:p w:rsidR="00C50CE0" w:rsidRDefault="0032395E">
            <w:pPr>
              <w:pBdr>
                <w:top w:val="nil"/>
                <w:left w:val="nil"/>
                <w:bottom w:val="nil"/>
                <w:right w:val="nil"/>
                <w:between w:val="nil"/>
              </w:pBdr>
              <w:jc w:val="right"/>
            </w:pPr>
            <w:r>
              <w:t>16,726.88</w:t>
            </w:r>
          </w:p>
        </w:tc>
      </w:tr>
    </w:tbl>
    <w:p w:rsidR="00C50CE0" w:rsidRDefault="00C50CE0">
      <w:pPr>
        <w:widowControl w:val="0"/>
        <w:pBdr>
          <w:top w:val="nil"/>
          <w:left w:val="nil"/>
          <w:bottom w:val="nil"/>
          <w:right w:val="nil"/>
          <w:between w:val="nil"/>
        </w:pBdr>
        <w:rPr>
          <w:b/>
          <w:color w:val="000000"/>
        </w:rPr>
      </w:pPr>
    </w:p>
    <w:p w:rsidR="00C50CE0" w:rsidRDefault="00C50CE0">
      <w:pPr>
        <w:pBdr>
          <w:top w:val="nil"/>
          <w:left w:val="nil"/>
          <w:bottom w:val="nil"/>
          <w:right w:val="nil"/>
          <w:between w:val="nil"/>
        </w:pBdr>
        <w:rPr>
          <w:color w:val="000000"/>
        </w:rPr>
      </w:pPr>
    </w:p>
    <w:p w:rsidR="00C50CE0" w:rsidRDefault="0032395E">
      <w:pPr>
        <w:pBdr>
          <w:top w:val="nil"/>
          <w:left w:val="nil"/>
          <w:bottom w:val="nil"/>
          <w:right w:val="nil"/>
          <w:between w:val="nil"/>
        </w:pBdr>
        <w:rPr>
          <w:color w:val="4F81BD"/>
        </w:rPr>
      </w:pPr>
      <w:r>
        <w:rPr>
          <w:color w:val="000000"/>
        </w:rPr>
        <w:t xml:space="preserve">Therefore, Bristol has chosen to use the following community land use standards to help guide energy projects to locate in areas it deems acceptable and to prohibit them in other areas. </w:t>
      </w:r>
    </w:p>
    <w:p w:rsidR="00C50CE0" w:rsidRDefault="0032395E">
      <w:pPr>
        <w:pStyle w:val="Heading2"/>
      </w:pPr>
      <w:r>
        <w:br w:type="page"/>
      </w:r>
    </w:p>
    <w:p w:rsidR="00C50CE0" w:rsidRDefault="0032395E">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Land Use, Renewable Generation and Transmission Pathways to Implementation - Goals, Policies and Recommended Actions</w:t>
      </w:r>
    </w:p>
    <w:p w:rsidR="00C50CE0" w:rsidRDefault="0032395E">
      <w:pPr>
        <w:pBdr>
          <w:top w:val="nil"/>
          <w:left w:val="nil"/>
          <w:bottom w:val="nil"/>
          <w:right w:val="nil"/>
          <w:between w:val="nil"/>
        </w:pBdr>
        <w:rPr>
          <w:color w:val="000000"/>
        </w:rPr>
      </w:pPr>
      <w:r>
        <w:rPr>
          <w:color w:val="000000"/>
        </w:rPr>
        <w:t xml:space="preserve">Given the generation targets, noted above, to meet statewide targets, Bristol promotes the following Goals, Policies and Recommended Actions for itself and its citizens. </w:t>
      </w:r>
    </w:p>
    <w:p w:rsidR="00C50CE0" w:rsidRDefault="0032395E">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Goals</w:t>
      </w:r>
    </w:p>
    <w:p w:rsidR="00C50CE0" w:rsidRDefault="00370AC7" w:rsidP="00370AC7">
      <w:pPr>
        <w:pBdr>
          <w:top w:val="nil"/>
          <w:left w:val="nil"/>
          <w:bottom w:val="nil"/>
          <w:right w:val="nil"/>
          <w:between w:val="nil"/>
        </w:pBdr>
        <w:spacing w:line="259" w:lineRule="auto"/>
        <w:ind w:left="270" w:hanging="270"/>
        <w:rPr>
          <w:b/>
        </w:rPr>
      </w:pPr>
      <w:r w:rsidRPr="00370AC7">
        <w:rPr>
          <w:b/>
        </w:rPr>
        <w:t>D</w:t>
      </w:r>
      <w:r w:rsidRPr="00370AC7">
        <w:rPr>
          <w:b/>
          <w:color w:val="000000"/>
        </w:rPr>
        <w:t>evelop renewable energy generation and energy conservation while m</w:t>
      </w:r>
      <w:r w:rsidR="0032395E" w:rsidRPr="00370AC7">
        <w:rPr>
          <w:b/>
        </w:rPr>
        <w:t>aintain</w:t>
      </w:r>
      <w:r w:rsidRPr="00370AC7">
        <w:rPr>
          <w:b/>
        </w:rPr>
        <w:t>ing</w:t>
      </w:r>
      <w:r w:rsidR="0032395E" w:rsidRPr="00370AC7">
        <w:rPr>
          <w:b/>
        </w:rPr>
        <w:t xml:space="preserve"> the working and open landscapes, habitat protection measures, and scenic rural views important to Bristol’s quality of life.</w:t>
      </w:r>
    </w:p>
    <w:p w:rsidR="00C50CE0" w:rsidRDefault="0032395E">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Policies</w:t>
      </w:r>
    </w:p>
    <w:p w:rsidR="00C50CE0" w:rsidRDefault="0032395E">
      <w:pPr>
        <w:pBdr>
          <w:top w:val="nil"/>
          <w:left w:val="nil"/>
          <w:bottom w:val="nil"/>
          <w:right w:val="nil"/>
          <w:between w:val="nil"/>
        </w:pBd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rPr>
          <w:color w:val="000000"/>
        </w:rPr>
      </w:pPr>
      <w:r>
        <w:rPr>
          <w:b/>
          <w:color w:val="4F81BD"/>
        </w:rPr>
        <w:t>Land use</w:t>
      </w:r>
    </w:p>
    <w:p w:rsidR="00C50CE0" w:rsidRPr="007805D9" w:rsidRDefault="0032395E" w:rsidP="00D72EE9">
      <w:pPr>
        <w:pStyle w:val="ListParagraph"/>
        <w:numPr>
          <w:ilvl w:val="0"/>
          <w:numId w:val="27"/>
        </w:numPr>
        <w:pBdr>
          <w:top w:val="nil"/>
          <w:left w:val="nil"/>
          <w:bottom w:val="nil"/>
          <w:right w:val="nil"/>
          <w:between w:val="nil"/>
        </w:pBdr>
        <w:spacing w:line="259" w:lineRule="auto"/>
        <w:ind w:left="360"/>
        <w:rPr>
          <w:color w:val="000000"/>
        </w:rPr>
      </w:pPr>
      <w:r w:rsidRPr="007805D9">
        <w:rPr>
          <w:color w:val="000000"/>
        </w:rPr>
        <w:t>Encourage settlement patterns that reduce travel requirements for work, services, and recreation.</w:t>
      </w:r>
    </w:p>
    <w:p w:rsidR="00C50CE0" w:rsidRPr="007805D9" w:rsidRDefault="0032395E" w:rsidP="00D72EE9">
      <w:pPr>
        <w:pStyle w:val="ListParagraph"/>
        <w:numPr>
          <w:ilvl w:val="0"/>
          <w:numId w:val="27"/>
        </w:numPr>
        <w:pBdr>
          <w:top w:val="nil"/>
          <w:left w:val="nil"/>
          <w:bottom w:val="nil"/>
          <w:right w:val="nil"/>
          <w:between w:val="nil"/>
        </w:pBdr>
        <w:spacing w:line="259" w:lineRule="auto"/>
        <w:ind w:left="360"/>
        <w:rPr>
          <w:color w:val="000000"/>
        </w:rPr>
      </w:pPr>
      <w:r w:rsidRPr="007805D9">
        <w:rPr>
          <w:color w:val="000000"/>
        </w:rPr>
        <w:t>Encourage development of compact neighborhoods.</w:t>
      </w:r>
    </w:p>
    <w:p w:rsidR="00C50CE0" w:rsidRPr="007805D9" w:rsidRDefault="0032395E" w:rsidP="00D72EE9">
      <w:pPr>
        <w:pStyle w:val="ListParagraph"/>
        <w:numPr>
          <w:ilvl w:val="0"/>
          <w:numId w:val="27"/>
        </w:numPr>
        <w:pBdr>
          <w:top w:val="nil"/>
          <w:left w:val="nil"/>
          <w:bottom w:val="nil"/>
          <w:right w:val="nil"/>
          <w:between w:val="nil"/>
        </w:pBdr>
        <w:spacing w:line="259" w:lineRule="auto"/>
        <w:ind w:left="360"/>
        <w:rPr>
          <w:color w:val="000000"/>
        </w:rPr>
      </w:pPr>
      <w:r w:rsidRPr="007805D9">
        <w:rPr>
          <w:color w:val="000000"/>
        </w:rPr>
        <w:t>Concentrate development within our residential-agricultural-commercial districts which results in the conservation of natural resources, land, energy used and infrastructure demands.</w:t>
      </w:r>
    </w:p>
    <w:p w:rsidR="00C50CE0" w:rsidRPr="007805D9" w:rsidRDefault="0032395E" w:rsidP="00D72EE9">
      <w:pPr>
        <w:pStyle w:val="ListParagraph"/>
        <w:numPr>
          <w:ilvl w:val="0"/>
          <w:numId w:val="27"/>
        </w:numPr>
        <w:pBdr>
          <w:top w:val="nil"/>
          <w:left w:val="nil"/>
          <w:bottom w:val="nil"/>
          <w:right w:val="nil"/>
          <w:between w:val="nil"/>
        </w:pBdr>
        <w:spacing w:line="259" w:lineRule="auto"/>
        <w:ind w:left="360"/>
        <w:rPr>
          <w:color w:val="000000"/>
        </w:rPr>
      </w:pPr>
      <w:r>
        <w:t>Promote</w:t>
      </w:r>
      <w:r w:rsidRPr="007805D9">
        <w:rPr>
          <w:color w:val="000000"/>
        </w:rPr>
        <w:t xml:space="preserve"> </w:t>
      </w:r>
      <w:r>
        <w:t>commercial</w:t>
      </w:r>
      <w:r w:rsidRPr="007805D9">
        <w:rPr>
          <w:color w:val="000000"/>
        </w:rPr>
        <w:t xml:space="preserve"> businesses within</w:t>
      </w:r>
      <w:r>
        <w:t xml:space="preserve"> the</w:t>
      </w:r>
      <w:r w:rsidRPr="007805D9">
        <w:rPr>
          <w:color w:val="000000"/>
        </w:rPr>
        <w:t xml:space="preserve"> do</w:t>
      </w:r>
      <w:r>
        <w:t xml:space="preserve">wntown </w:t>
      </w:r>
      <w:r w:rsidRPr="007805D9">
        <w:rPr>
          <w:color w:val="000000"/>
        </w:rPr>
        <w:t xml:space="preserve">village area. </w:t>
      </w:r>
    </w:p>
    <w:p w:rsidR="00C50CE0" w:rsidRPr="007805D9" w:rsidRDefault="0032395E" w:rsidP="00D72EE9">
      <w:pPr>
        <w:pStyle w:val="ListParagraph"/>
        <w:numPr>
          <w:ilvl w:val="0"/>
          <w:numId w:val="27"/>
        </w:numPr>
        <w:pBdr>
          <w:top w:val="nil"/>
          <w:left w:val="nil"/>
          <w:bottom w:val="nil"/>
          <w:right w:val="nil"/>
          <w:between w:val="nil"/>
        </w:pBdr>
        <w:spacing w:line="259" w:lineRule="auto"/>
        <w:ind w:left="360"/>
        <w:rPr>
          <w:color w:val="000000"/>
        </w:rPr>
      </w:pPr>
      <w:r w:rsidRPr="007805D9">
        <w:rPr>
          <w:color w:val="000000"/>
        </w:rPr>
        <w:t>Allow infilling of existing large-lot development if higher density development is desirable and appropriate.</w:t>
      </w:r>
    </w:p>
    <w:p w:rsidR="00C50CE0" w:rsidRPr="007805D9" w:rsidRDefault="0032395E" w:rsidP="00D72EE9">
      <w:pPr>
        <w:pStyle w:val="ListParagraph"/>
        <w:numPr>
          <w:ilvl w:val="0"/>
          <w:numId w:val="27"/>
        </w:numPr>
        <w:pBdr>
          <w:top w:val="nil"/>
          <w:left w:val="nil"/>
          <w:bottom w:val="nil"/>
          <w:right w:val="nil"/>
          <w:between w:val="nil"/>
        </w:pBdr>
        <w:spacing w:line="259" w:lineRule="auto"/>
        <w:ind w:left="360"/>
        <w:rPr>
          <w:color w:val="000000"/>
        </w:rPr>
      </w:pPr>
      <w:r w:rsidRPr="007805D9">
        <w:rPr>
          <w:color w:val="000000"/>
        </w:rPr>
        <w:t>Provide opportunities for appropriate home occupation businesses consistent with zoning regulations.</w:t>
      </w:r>
    </w:p>
    <w:p w:rsidR="00C50CE0" w:rsidRDefault="0032395E" w:rsidP="00D72EE9">
      <w:pPr>
        <w:pStyle w:val="ListParagraph"/>
        <w:numPr>
          <w:ilvl w:val="0"/>
          <w:numId w:val="27"/>
        </w:numPr>
        <w:spacing w:line="259" w:lineRule="auto"/>
        <w:ind w:left="360"/>
      </w:pPr>
      <w:r>
        <w:t>Conserve forest land as a renewable energy resource, tempered by the responsible use of wood for biomass energy production.</w:t>
      </w:r>
    </w:p>
    <w:p w:rsidR="00C50CE0" w:rsidRPr="007805D9" w:rsidRDefault="0032395E" w:rsidP="00D72EE9">
      <w:pPr>
        <w:pStyle w:val="ListParagraph"/>
        <w:numPr>
          <w:ilvl w:val="0"/>
          <w:numId w:val="27"/>
        </w:numPr>
        <w:pBdr>
          <w:top w:val="nil"/>
          <w:left w:val="nil"/>
          <w:bottom w:val="nil"/>
          <w:right w:val="nil"/>
          <w:between w:val="nil"/>
        </w:pBdr>
        <w:spacing w:after="160" w:line="259" w:lineRule="auto"/>
        <w:ind w:left="360"/>
        <w:rPr>
          <w:color w:val="000000"/>
        </w:rPr>
      </w:pPr>
      <w:r w:rsidRPr="007805D9">
        <w:rPr>
          <w:color w:val="000000"/>
        </w:rPr>
        <w:t>Support local farms and local food system which decrease energy demands of trucking and shipping and gives value and purpose to our open agricultural lands.</w:t>
      </w:r>
    </w:p>
    <w:p w:rsidR="00C50CE0" w:rsidRDefault="0032395E">
      <w:pPr>
        <w:pBdr>
          <w:top w:val="nil"/>
          <w:left w:val="nil"/>
          <w:bottom w:val="nil"/>
          <w:right w:val="nil"/>
          <w:between w:val="nil"/>
        </w:pBdr>
        <w:spacing w:line="259" w:lineRule="auto"/>
        <w:rPr>
          <w:b/>
          <w:color w:val="4F81BD"/>
        </w:rPr>
      </w:pPr>
      <w:r>
        <w:rPr>
          <w:b/>
          <w:color w:val="4F81BD"/>
        </w:rPr>
        <w:t>Generation</w:t>
      </w:r>
    </w:p>
    <w:p w:rsidR="00C50CE0" w:rsidRPr="007805D9" w:rsidRDefault="0032395E" w:rsidP="00D72EE9">
      <w:pPr>
        <w:pStyle w:val="ListParagraph"/>
        <w:numPr>
          <w:ilvl w:val="0"/>
          <w:numId w:val="26"/>
        </w:numPr>
        <w:pBdr>
          <w:top w:val="nil"/>
          <w:left w:val="nil"/>
          <w:bottom w:val="nil"/>
          <w:right w:val="nil"/>
          <w:between w:val="nil"/>
        </w:pBdr>
        <w:spacing w:line="259" w:lineRule="auto"/>
        <w:ind w:left="360"/>
        <w:rPr>
          <w:color w:val="000000"/>
        </w:rPr>
      </w:pPr>
      <w:r w:rsidRPr="007805D9">
        <w:rPr>
          <w:color w:val="000000"/>
        </w:rPr>
        <w:t xml:space="preserve">Support the development and siting of renewable energy resources in the Town that are in conformance with the goals, strategies, and mapping outlined in this energy plan.  </w:t>
      </w:r>
    </w:p>
    <w:p w:rsidR="00C50CE0" w:rsidRPr="007805D9" w:rsidRDefault="0032395E" w:rsidP="00D72EE9">
      <w:pPr>
        <w:pStyle w:val="ListParagraph"/>
        <w:numPr>
          <w:ilvl w:val="0"/>
          <w:numId w:val="26"/>
        </w:numPr>
        <w:pBdr>
          <w:top w:val="nil"/>
          <w:left w:val="nil"/>
          <w:bottom w:val="nil"/>
          <w:right w:val="nil"/>
          <w:between w:val="nil"/>
        </w:pBdr>
        <w:spacing w:line="259" w:lineRule="auto"/>
        <w:ind w:left="360"/>
        <w:rPr>
          <w:color w:val="000000"/>
        </w:rPr>
      </w:pPr>
      <w:r w:rsidRPr="007805D9">
        <w:rPr>
          <w:color w:val="000000"/>
        </w:rPr>
        <w:t xml:space="preserve">Development of generation utilities shall be favored in identified preferred locations over the development of other sites. </w:t>
      </w:r>
    </w:p>
    <w:p w:rsidR="00C50CE0" w:rsidRPr="007805D9" w:rsidRDefault="0032395E" w:rsidP="00D72EE9">
      <w:pPr>
        <w:pStyle w:val="ListParagraph"/>
        <w:numPr>
          <w:ilvl w:val="0"/>
          <w:numId w:val="26"/>
        </w:numPr>
        <w:pBdr>
          <w:top w:val="nil"/>
          <w:left w:val="nil"/>
          <w:bottom w:val="nil"/>
          <w:right w:val="nil"/>
          <w:between w:val="nil"/>
        </w:pBdr>
        <w:spacing w:line="259" w:lineRule="auto"/>
        <w:ind w:left="360"/>
        <w:rPr>
          <w:color w:val="000000"/>
        </w:rPr>
      </w:pPr>
      <w:r w:rsidRPr="007805D9">
        <w:rPr>
          <w:color w:val="000000"/>
        </w:rPr>
        <w:t>Support production of energy from methane for on -farm use only as a desirable agricultural practice</w:t>
      </w:r>
    </w:p>
    <w:p w:rsidR="00C50CE0" w:rsidRPr="007805D9" w:rsidRDefault="0032395E" w:rsidP="00D72EE9">
      <w:pPr>
        <w:pStyle w:val="ListParagraph"/>
        <w:numPr>
          <w:ilvl w:val="0"/>
          <w:numId w:val="26"/>
        </w:numPr>
        <w:pBdr>
          <w:top w:val="nil"/>
          <w:left w:val="nil"/>
          <w:bottom w:val="nil"/>
          <w:right w:val="nil"/>
          <w:between w:val="nil"/>
        </w:pBdr>
        <w:spacing w:line="259" w:lineRule="auto"/>
        <w:ind w:left="360"/>
        <w:rPr>
          <w:color w:val="000000"/>
        </w:rPr>
      </w:pPr>
      <w:r w:rsidRPr="007805D9">
        <w:rPr>
          <w:color w:val="000000"/>
        </w:rPr>
        <w:t xml:space="preserve">Encourage the use of wind energy with due regard to aesthetic and environmental considerations, especially in high and medium density residential areas. </w:t>
      </w:r>
    </w:p>
    <w:p w:rsidR="00C50CE0" w:rsidRDefault="0032395E">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Recommended Actions</w:t>
      </w:r>
    </w:p>
    <w:p w:rsidR="00C50CE0" w:rsidRPr="007805D9" w:rsidRDefault="0032395E" w:rsidP="00D72EE9">
      <w:pPr>
        <w:pStyle w:val="ListParagraph"/>
        <w:numPr>
          <w:ilvl w:val="0"/>
          <w:numId w:val="25"/>
        </w:numPr>
        <w:pBdr>
          <w:top w:val="nil"/>
          <w:left w:val="nil"/>
          <w:bottom w:val="nil"/>
          <w:right w:val="nil"/>
          <w:between w:val="nil"/>
        </w:pBdr>
        <w:spacing w:line="259" w:lineRule="auto"/>
        <w:ind w:left="360"/>
        <w:rPr>
          <w:color w:val="000000"/>
        </w:rPr>
      </w:pPr>
      <w:r w:rsidRPr="007805D9">
        <w:rPr>
          <w:color w:val="000000"/>
        </w:rPr>
        <w:t>The Bristol Energy C</w:t>
      </w:r>
      <w:r>
        <w:t>ommittee</w:t>
      </w:r>
      <w:r w:rsidRPr="007805D9">
        <w:rPr>
          <w:color w:val="000000"/>
        </w:rPr>
        <w:t xml:space="preserve"> will continue to work closely with the Bristol Planning Commission, DRB and Zoning Administrator on any proposed energy development projects within Bristol.</w:t>
      </w:r>
      <w:r w:rsidRPr="007805D9">
        <w:rPr>
          <w:color w:val="FF0000"/>
        </w:rPr>
        <w:t xml:space="preserve"> </w:t>
      </w:r>
      <w:r w:rsidRPr="007805D9">
        <w:rPr>
          <w:color w:val="000000"/>
        </w:rPr>
        <w:t xml:space="preserve"> </w:t>
      </w:r>
    </w:p>
    <w:p w:rsidR="00C50CE0" w:rsidRPr="007805D9" w:rsidRDefault="0032395E" w:rsidP="00D72EE9">
      <w:pPr>
        <w:pStyle w:val="ListParagraph"/>
        <w:numPr>
          <w:ilvl w:val="0"/>
          <w:numId w:val="25"/>
        </w:numPr>
        <w:pBdr>
          <w:top w:val="nil"/>
          <w:left w:val="nil"/>
          <w:bottom w:val="nil"/>
          <w:right w:val="nil"/>
          <w:between w:val="nil"/>
        </w:pBdr>
        <w:spacing w:line="259" w:lineRule="auto"/>
        <w:ind w:left="360"/>
        <w:rPr>
          <w:color w:val="000000"/>
        </w:rPr>
      </w:pPr>
      <w:r w:rsidRPr="007805D9">
        <w:rPr>
          <w:color w:val="000000"/>
        </w:rPr>
        <w:t>Investigate the installation of municipal solar and/or wind net-metering facilities to offset municipal electric use.</w:t>
      </w:r>
    </w:p>
    <w:p w:rsidR="00C50CE0" w:rsidRPr="007805D9" w:rsidRDefault="0032395E" w:rsidP="00D72EE9">
      <w:pPr>
        <w:pStyle w:val="ListParagraph"/>
        <w:numPr>
          <w:ilvl w:val="0"/>
          <w:numId w:val="25"/>
        </w:numPr>
        <w:pBdr>
          <w:top w:val="nil"/>
          <w:left w:val="nil"/>
          <w:bottom w:val="nil"/>
          <w:right w:val="nil"/>
          <w:between w:val="nil"/>
        </w:pBdr>
        <w:spacing w:line="259" w:lineRule="auto"/>
        <w:ind w:left="360"/>
        <w:rPr>
          <w:color w:val="000000"/>
        </w:rPr>
      </w:pPr>
      <w:r w:rsidRPr="007805D9">
        <w:rPr>
          <w:color w:val="000000"/>
        </w:rPr>
        <w:t>Investigate installation of community-owner renewable energy project(s) to allow Bristol</w:t>
      </w:r>
      <w:r w:rsidRPr="007805D9">
        <w:rPr>
          <w:rFonts w:ascii="Calibri" w:eastAsia="Calibri" w:hAnsi="Calibri" w:cs="Calibri"/>
          <w:color w:val="000000"/>
        </w:rPr>
        <w:t>’</w:t>
      </w:r>
      <w:r w:rsidRPr="007805D9">
        <w:rPr>
          <w:color w:val="000000"/>
        </w:rPr>
        <w:t xml:space="preserve">s citizens to participate in the economic benefits of local energy production. </w:t>
      </w:r>
      <w:r>
        <w:br w:type="page"/>
      </w:r>
    </w:p>
    <w:p w:rsidR="00C50CE0" w:rsidRDefault="0032395E">
      <w:pPr>
        <w:pBdr>
          <w:top w:val="nil"/>
          <w:left w:val="nil"/>
          <w:bottom w:val="nil"/>
          <w:right w:val="nil"/>
          <w:between w:val="nil"/>
        </w:pBdr>
        <w:spacing w:line="259" w:lineRule="auto"/>
        <w:rPr>
          <w:b/>
        </w:rPr>
      </w:pPr>
      <w:r>
        <w:rPr>
          <w:b/>
        </w:rPr>
        <w:lastRenderedPageBreak/>
        <w:t>Locally Preferred Areas for Energy Production Siting</w:t>
      </w:r>
    </w:p>
    <w:p w:rsidR="00C50CE0" w:rsidRDefault="00C50CE0">
      <w:pPr>
        <w:pBdr>
          <w:top w:val="nil"/>
          <w:left w:val="nil"/>
          <w:bottom w:val="nil"/>
          <w:right w:val="nil"/>
          <w:between w:val="nil"/>
        </w:pBdr>
        <w:spacing w:line="259" w:lineRule="auto"/>
      </w:pPr>
    </w:p>
    <w:p w:rsidR="00C50CE0" w:rsidRDefault="0032395E">
      <w:pPr>
        <w:pBdr>
          <w:top w:val="nil"/>
          <w:left w:val="nil"/>
          <w:bottom w:val="nil"/>
          <w:right w:val="nil"/>
          <w:between w:val="nil"/>
        </w:pBdr>
        <w:spacing w:line="259" w:lineRule="auto"/>
      </w:pPr>
      <w:r>
        <w:t xml:space="preserve">Bristol has identified the following specific areas as preferred locations for siting energy generation (Map 9): An area of approximately </w:t>
      </w:r>
      <w:r w:rsidR="00720765">
        <w:t>3,910</w:t>
      </w:r>
      <w:r>
        <w:t xml:space="preserve"> acres within the Rural/Agricultural Land Use Planning Area on the west side of town. This excludes the areas with Known Constraints as identified in Table</w:t>
      </w:r>
      <w:r>
        <w:rPr>
          <w:b/>
        </w:rPr>
        <w:t xml:space="preserve"> </w:t>
      </w:r>
      <w:r>
        <w:t>10, which are primarily river and stream corridors as well as State Significant Natural Communities and Rare, Threatened, and Endangered Species locations. Additionally, the preferred area excludes those areas identified as Highest Priority Forest Blocks, as well as existing protected lands. This preferred location is the largest contiguous piece of unconstrained land in Bristol and is in close proximity to existing transmission line and 3-phase power infrastructure.</w:t>
      </w:r>
    </w:p>
    <w:p w:rsidR="00C50CE0" w:rsidRDefault="0032395E">
      <w:pPr>
        <w:spacing w:line="256" w:lineRule="auto"/>
      </w:pPr>
      <w:r>
        <w:t xml:space="preserve"> </w:t>
      </w:r>
    </w:p>
    <w:p w:rsidR="00C50CE0" w:rsidRDefault="0032395E">
      <w:pPr>
        <w:spacing w:line="256" w:lineRule="auto"/>
      </w:pPr>
      <w:r>
        <w:t>Using existing solar facility footprints as a model, this area has the potential solar energy capacity of more than 230 MW or production of 281,000 MWh each year, well in excess of Bristol’s 2050 generation targets (Table 11).</w:t>
      </w:r>
    </w:p>
    <w:p w:rsidR="00C50CE0" w:rsidRDefault="00C50CE0">
      <w:pPr>
        <w:spacing w:line="256" w:lineRule="auto"/>
      </w:pPr>
    </w:p>
    <w:p w:rsidR="00C50CE0" w:rsidRDefault="00C50CE0">
      <w:pPr>
        <w:pBdr>
          <w:top w:val="nil"/>
          <w:left w:val="nil"/>
          <w:bottom w:val="nil"/>
          <w:right w:val="nil"/>
          <w:between w:val="nil"/>
        </w:pBdr>
        <w:spacing w:line="259" w:lineRule="auto"/>
      </w:pPr>
    </w:p>
    <w:p w:rsidR="0032395E" w:rsidRDefault="0032395E">
      <w:r>
        <w:br w:type="page"/>
      </w:r>
    </w:p>
    <w:p w:rsidR="0032395E" w:rsidRDefault="0032395E" w:rsidP="0032395E">
      <w:pPr>
        <w:pStyle w:val="Heading2"/>
        <w:rPr>
          <w:rFonts w:ascii="Times New Roman" w:eastAsia="Times New Roman" w:hAnsi="Times New Roman" w:cs="Times New Roman"/>
          <w:color w:val="4F81BD"/>
          <w:sz w:val="24"/>
          <w:szCs w:val="24"/>
        </w:rPr>
      </w:pPr>
      <w:r>
        <w:rPr>
          <w:rFonts w:ascii="Times New Roman" w:eastAsia="Times New Roman" w:hAnsi="Times New Roman" w:cs="Times New Roman"/>
          <w:color w:val="4F81BD"/>
          <w:sz w:val="24"/>
          <w:szCs w:val="24"/>
        </w:rPr>
        <w:lastRenderedPageBreak/>
        <w:t>Community Standards for Siting and Decommissioning Energy Projects</w:t>
      </w:r>
    </w:p>
    <w:p w:rsidR="0032395E" w:rsidRDefault="0032395E" w:rsidP="0032395E">
      <w:r>
        <w:t>Where a project is placed on the landscape constitutes the most critical element in the aesthetic siting of a project. Poor siting cannot be adequately mitigated. Accordingly, all renewable energy projects in Bristol must evaluate and address the proposed site</w:t>
      </w:r>
      <w:r>
        <w:rPr>
          <w:rFonts w:ascii="Calibri" w:eastAsia="Calibri" w:hAnsi="Calibri" w:cs="Calibri"/>
        </w:rPr>
        <w:t>’</w:t>
      </w:r>
      <w:r>
        <w:t xml:space="preserve">s aesthetic impact on the surrounding landscape and significant viewsheds. The historical working landscape that defines Bristol is dominated by open fields, rural residential development, and forests against the backdrop of the Green Mountains. Rural structures like barns fit into the landscape because their scale and mass generally do not impact large tracts of otherwise open land. </w:t>
      </w:r>
    </w:p>
    <w:p w:rsidR="0032395E" w:rsidRDefault="0032395E" w:rsidP="0032395E">
      <w:pPr>
        <w:pBdr>
          <w:top w:val="nil"/>
          <w:left w:val="nil"/>
          <w:bottom w:val="nil"/>
          <w:right w:val="nil"/>
          <w:between w:val="nil"/>
        </w:pBdr>
      </w:pPr>
      <w:r>
        <w:t>Large scale generation projects, however, may need to be limited in height and mass, and/or have their height and mass broken by screening to fit in with this landscape. Following are Bristol’s standards for siting new energy generation.</w:t>
      </w:r>
      <w:r>
        <w:rPr>
          <w:color w:val="C00000"/>
        </w:rPr>
        <w:t xml:space="preserve"> </w:t>
      </w:r>
      <w:r>
        <w:t>Bristol shall not apply the siting standards so strictly so as to eliminate the opportunity to meet its electrical generation targets.</w:t>
      </w:r>
    </w:p>
    <w:p w:rsidR="0032395E" w:rsidRDefault="0032395E" w:rsidP="0032395E">
      <w:pPr>
        <w:pBdr>
          <w:top w:val="nil"/>
          <w:left w:val="nil"/>
          <w:bottom w:val="nil"/>
          <w:right w:val="nil"/>
          <w:between w:val="nil"/>
        </w:pBdr>
        <w:rPr>
          <w:color w:val="000000"/>
        </w:rPr>
      </w:pPr>
      <w:r>
        <w:rPr>
          <w:color w:val="000000"/>
        </w:rPr>
        <w:t xml:space="preserve">  </w:t>
      </w:r>
    </w:p>
    <w:p w:rsidR="0032395E" w:rsidRDefault="0032395E" w:rsidP="0032395E">
      <w:pPr>
        <w:pBdr>
          <w:top w:val="nil"/>
          <w:left w:val="nil"/>
          <w:bottom w:val="nil"/>
          <w:right w:val="nil"/>
          <w:between w:val="nil"/>
        </w:pBdr>
      </w:pPr>
    </w:p>
    <w:p w:rsidR="0032395E" w:rsidRDefault="0032395E" w:rsidP="0032395E">
      <w:r>
        <w:t>SOLAR:</w:t>
      </w:r>
    </w:p>
    <w:p w:rsidR="0032395E" w:rsidRDefault="0032395E" w:rsidP="0032395E">
      <w:r>
        <w:rPr>
          <w:b/>
        </w:rPr>
        <w:t>Residential scale solar projects</w:t>
      </w:r>
      <w:r>
        <w:t>, defined as grid-connected/ net-metered projects less than 15 kW, whether rooftop or ground mounted, are</w:t>
      </w:r>
      <w:r>
        <w:rPr>
          <w:b/>
        </w:rPr>
        <w:t xml:space="preserve"> encouraged</w:t>
      </w:r>
      <w:r>
        <w:t xml:space="preserve"> in all areas of the Town of Bristol. Owners are encouraged to use the siting standards noted below when siting their array on their property.</w:t>
      </w:r>
    </w:p>
    <w:p w:rsidR="0032395E" w:rsidRDefault="0032395E" w:rsidP="0032395E">
      <w:r>
        <w:t xml:space="preserve"> </w:t>
      </w:r>
    </w:p>
    <w:p w:rsidR="0032395E" w:rsidRDefault="0032395E" w:rsidP="0032395E">
      <w:r>
        <w:rPr>
          <w:b/>
        </w:rPr>
        <w:t>Net metered commercial solar projects</w:t>
      </w:r>
      <w:r>
        <w:t xml:space="preserve">, defined as any project subject to Rule 5.100 governing net-meter solar arrays and ranging in size from 15kW – 500kW are </w:t>
      </w:r>
      <w:r>
        <w:rPr>
          <w:b/>
        </w:rPr>
        <w:t>encouraged</w:t>
      </w:r>
      <w:r>
        <w:t xml:space="preserve"> in Bristol, subject to the siting criteria below, within the preferred areas as designated by this Plan and depicted on Map X.</w:t>
      </w:r>
    </w:p>
    <w:p w:rsidR="0032395E" w:rsidRDefault="0032395E" w:rsidP="0032395E">
      <w:r>
        <w:t xml:space="preserve"> </w:t>
      </w:r>
    </w:p>
    <w:p w:rsidR="0032395E" w:rsidRDefault="0032395E" w:rsidP="0032395E">
      <w:r>
        <w:rPr>
          <w:b/>
        </w:rPr>
        <w:t xml:space="preserve">Commercial solar projects, </w:t>
      </w:r>
      <w:r>
        <w:t xml:space="preserve">are of a size greater than that permitted by the net-metering rules (&gt;500kW) are </w:t>
      </w:r>
      <w:r>
        <w:rPr>
          <w:b/>
        </w:rPr>
        <w:t>discouraged</w:t>
      </w:r>
      <w:r>
        <w:t xml:space="preserve"> in the Town of Bristol.</w:t>
      </w:r>
    </w:p>
    <w:p w:rsidR="0032395E" w:rsidRDefault="0032395E" w:rsidP="0032395E">
      <w:pPr>
        <w:rPr>
          <w:highlight w:val="yellow"/>
        </w:rPr>
      </w:pPr>
    </w:p>
    <w:p w:rsidR="0032395E" w:rsidRDefault="007805D9" w:rsidP="007805D9">
      <w:pPr>
        <w:pBdr>
          <w:top w:val="nil"/>
          <w:left w:val="nil"/>
          <w:bottom w:val="nil"/>
          <w:right w:val="nil"/>
          <w:between w:val="nil"/>
        </w:pBdr>
      </w:pPr>
      <w:r>
        <w:rPr>
          <w:b/>
          <w:color w:val="000000"/>
        </w:rPr>
        <w:t xml:space="preserve">A. </w:t>
      </w:r>
      <w:r w:rsidR="0032395E">
        <w:rPr>
          <w:b/>
          <w:color w:val="000000"/>
        </w:rPr>
        <w:t>Siting</w:t>
      </w:r>
      <w:r w:rsidR="0032395E">
        <w:rPr>
          <w:b/>
        </w:rPr>
        <w:t>:</w:t>
      </w:r>
    </w:p>
    <w:p w:rsidR="0032395E" w:rsidRDefault="0032395E" w:rsidP="0032395E">
      <w:pPr>
        <w:pBdr>
          <w:top w:val="nil"/>
          <w:left w:val="nil"/>
          <w:bottom w:val="nil"/>
          <w:right w:val="nil"/>
          <w:between w:val="nil"/>
        </w:pBdr>
        <w:ind w:left="360" w:hanging="360"/>
        <w:rPr>
          <w:color w:val="000000"/>
        </w:rPr>
      </w:pPr>
      <w:r>
        <w:rPr>
          <w:b/>
          <w:color w:val="000000"/>
        </w:rPr>
        <w:t>Good sites</w:t>
      </w:r>
      <w:r>
        <w:rPr>
          <w:color w:val="000000"/>
        </w:rPr>
        <w:t xml:space="preserve"> have one or more of the following characteristics:</w:t>
      </w:r>
    </w:p>
    <w:p w:rsidR="0032395E" w:rsidRDefault="0032395E" w:rsidP="00D72EE9">
      <w:pPr>
        <w:pStyle w:val="ListParagraph"/>
        <w:numPr>
          <w:ilvl w:val="0"/>
          <w:numId w:val="24"/>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sidRPr="007805D9">
        <w:rPr>
          <w:color w:val="000000"/>
        </w:rPr>
        <w:t>Roof-mounted systems;</w:t>
      </w:r>
    </w:p>
    <w:p w:rsidR="0032395E" w:rsidRDefault="0032395E" w:rsidP="00D72EE9">
      <w:pPr>
        <w:pStyle w:val="ListParagraph"/>
        <w:numPr>
          <w:ilvl w:val="0"/>
          <w:numId w:val="24"/>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sidRPr="007805D9">
        <w:rPr>
          <w:color w:val="000000"/>
        </w:rPr>
        <w:t>Systems located in close proximity to existing larger scale, commercial, industrial or agricultural buildings;</w:t>
      </w:r>
    </w:p>
    <w:p w:rsidR="0032395E" w:rsidRDefault="0032395E" w:rsidP="00D72EE9">
      <w:pPr>
        <w:pStyle w:val="ListParagraph"/>
        <w:numPr>
          <w:ilvl w:val="0"/>
          <w:numId w:val="24"/>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sidRPr="007805D9">
        <w:rPr>
          <w:color w:val="000000"/>
        </w:rPr>
        <w:t xml:space="preserve">Proximity to existing hedgerows or other topographical features that naturally screen the proposed array from view from at least two sides; </w:t>
      </w:r>
    </w:p>
    <w:p w:rsidR="0032395E" w:rsidRDefault="0032395E" w:rsidP="00D72EE9">
      <w:pPr>
        <w:pStyle w:val="ListParagraph"/>
        <w:numPr>
          <w:ilvl w:val="0"/>
          <w:numId w:val="24"/>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sidRPr="007805D9">
        <w:rPr>
          <w:color w:val="000000"/>
        </w:rPr>
        <w:t>Systems fit the scale and context of their location.</w:t>
      </w:r>
    </w:p>
    <w:p w:rsidR="0032395E" w:rsidRDefault="0032395E" w:rsidP="00D72EE9">
      <w:pPr>
        <w:pStyle w:val="ListParagraph"/>
        <w:numPr>
          <w:ilvl w:val="0"/>
          <w:numId w:val="24"/>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sidRPr="007805D9">
        <w:rPr>
          <w:color w:val="000000"/>
        </w:rPr>
        <w:t>Reuse of former brownfields or otherwise impacted property.</w:t>
      </w:r>
    </w:p>
    <w:p w:rsidR="0032395E" w:rsidRDefault="0032395E" w:rsidP="00D72EE9">
      <w:pPr>
        <w:pStyle w:val="ListParagraph"/>
        <w:numPr>
          <w:ilvl w:val="0"/>
          <w:numId w:val="24"/>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sidRPr="007805D9">
        <w:rPr>
          <w:color w:val="000000"/>
        </w:rPr>
        <w:t>Glare and noise are minimized to the extent possible.</w:t>
      </w:r>
    </w:p>
    <w:p w:rsidR="0032395E" w:rsidRDefault="0032395E" w:rsidP="00D72EE9">
      <w:pPr>
        <w:pStyle w:val="ListParagraph"/>
        <w:numPr>
          <w:ilvl w:val="0"/>
          <w:numId w:val="24"/>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t>“Preferred” areas as defined by the Public Utilities Commission Rule 5.100 governing net metered sites;</w:t>
      </w:r>
    </w:p>
    <w:p w:rsidR="0032395E" w:rsidRDefault="0032395E" w:rsidP="00D72EE9">
      <w:pPr>
        <w:pStyle w:val="ListParagraph"/>
        <w:numPr>
          <w:ilvl w:val="0"/>
          <w:numId w:val="24"/>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t>Sites designated as “preferred” areas by this Plan.</w:t>
      </w:r>
    </w:p>
    <w:p w:rsidR="0032395E" w:rsidRDefault="0032395E" w:rsidP="0032395E">
      <w:pPr>
        <w:pBdr>
          <w:top w:val="nil"/>
          <w:left w:val="nil"/>
          <w:bottom w:val="nil"/>
          <w:right w:val="nil"/>
          <w:between w:val="nil"/>
        </w:pBd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rPr>
          <w:color w:val="000000"/>
        </w:rPr>
      </w:pPr>
    </w:p>
    <w:p w:rsidR="0032395E" w:rsidRDefault="0032395E" w:rsidP="0032395E">
      <w:pPr>
        <w:pBdr>
          <w:top w:val="nil"/>
          <w:left w:val="nil"/>
          <w:bottom w:val="nil"/>
          <w:right w:val="nil"/>
          <w:between w:val="nil"/>
        </w:pBdr>
        <w:ind w:left="360" w:hanging="360"/>
        <w:rPr>
          <w:color w:val="000000"/>
        </w:rPr>
      </w:pPr>
      <w:r>
        <w:rPr>
          <w:b/>
          <w:color w:val="000000"/>
        </w:rPr>
        <w:t>Poor Sites</w:t>
      </w:r>
      <w:r>
        <w:rPr>
          <w:color w:val="000000"/>
        </w:rPr>
        <w:t xml:space="preserve"> have one or more of the following characteristics:</w:t>
      </w:r>
    </w:p>
    <w:p w:rsidR="0032395E" w:rsidRDefault="0032395E" w:rsidP="00D72EE9">
      <w:pPr>
        <w:numPr>
          <w:ilvl w:val="1"/>
          <w:numId w:val="23"/>
        </w:numPr>
        <w:pBdr>
          <w:top w:val="nil"/>
          <w:left w:val="nil"/>
          <w:bottom w:val="nil"/>
          <w:right w:val="nil"/>
          <w:between w:val="nil"/>
        </w:pBdr>
        <w:tabs>
          <w:tab w:val="left" w:pos="720"/>
          <w:tab w:val="left" w:pos="792"/>
          <w:tab w:val="left" w:pos="1080"/>
          <w:tab w:val="left" w:pos="1224"/>
          <w:tab w:val="left" w:pos="135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Pr>
          <w:color w:val="000000"/>
        </w:rPr>
        <w:t>No natural screening;</w:t>
      </w:r>
    </w:p>
    <w:p w:rsidR="0032395E" w:rsidRDefault="0032395E" w:rsidP="00D72EE9">
      <w:pPr>
        <w:numPr>
          <w:ilvl w:val="1"/>
          <w:numId w:val="23"/>
        </w:numPr>
        <w:tabs>
          <w:tab w:val="left" w:pos="720"/>
          <w:tab w:val="left" w:pos="792"/>
          <w:tab w:val="left" w:pos="1080"/>
          <w:tab w:val="left" w:pos="1224"/>
          <w:tab w:val="left" w:pos="135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t>Sites obscure views of historic buildings and scenic views from common vantage points like roads and neighborhoods.</w:t>
      </w:r>
    </w:p>
    <w:p w:rsidR="0032395E" w:rsidRDefault="0032395E" w:rsidP="00D72EE9">
      <w:pPr>
        <w:numPr>
          <w:ilvl w:val="1"/>
          <w:numId w:val="23"/>
        </w:numPr>
        <w:pBdr>
          <w:top w:val="nil"/>
          <w:left w:val="nil"/>
          <w:bottom w:val="nil"/>
          <w:right w:val="nil"/>
          <w:between w:val="nil"/>
        </w:pBdr>
        <w:tabs>
          <w:tab w:val="left" w:pos="720"/>
          <w:tab w:val="left" w:pos="792"/>
          <w:tab w:val="left" w:pos="1080"/>
          <w:tab w:val="left" w:pos="1224"/>
          <w:tab w:val="left" w:pos="135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Pr>
          <w:color w:val="000000"/>
        </w:rPr>
        <w:t>Topography that causes the arrays to dominate the skyline from common vantage points like roads or neighborhoods (recognizing that this is more difficult for wind towers);</w:t>
      </w:r>
    </w:p>
    <w:p w:rsidR="0032395E" w:rsidRDefault="0032395E" w:rsidP="00D72EE9">
      <w:pPr>
        <w:numPr>
          <w:ilvl w:val="1"/>
          <w:numId w:val="23"/>
        </w:numPr>
        <w:pBdr>
          <w:top w:val="nil"/>
          <w:left w:val="nil"/>
          <w:bottom w:val="nil"/>
          <w:right w:val="nil"/>
          <w:between w:val="nil"/>
        </w:pBdr>
        <w:tabs>
          <w:tab w:val="left" w:pos="720"/>
          <w:tab w:val="left" w:pos="792"/>
          <w:tab w:val="left" w:pos="1080"/>
          <w:tab w:val="left" w:pos="1224"/>
          <w:tab w:val="left" w:pos="135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Pr>
          <w:color w:val="000000"/>
        </w:rPr>
        <w:t>Locations in floodways or mapped river corridors;</w:t>
      </w:r>
    </w:p>
    <w:p w:rsidR="0032395E" w:rsidRDefault="0032395E" w:rsidP="00D72EE9">
      <w:pPr>
        <w:numPr>
          <w:ilvl w:val="1"/>
          <w:numId w:val="23"/>
        </w:numPr>
        <w:pBdr>
          <w:top w:val="nil"/>
          <w:left w:val="nil"/>
          <w:bottom w:val="nil"/>
          <w:right w:val="nil"/>
          <w:between w:val="nil"/>
        </w:pBdr>
        <w:tabs>
          <w:tab w:val="left" w:pos="720"/>
          <w:tab w:val="left" w:pos="792"/>
          <w:tab w:val="left" w:pos="1080"/>
          <w:tab w:val="left" w:pos="1224"/>
          <w:tab w:val="left" w:pos="135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Pr>
          <w:color w:val="000000"/>
        </w:rPr>
        <w:lastRenderedPageBreak/>
        <w:t xml:space="preserve">A location in proximity to and interfering with significant viewsheds of the Green Mountains, Deer Leap, and Hogback </w:t>
      </w:r>
      <w:r>
        <w:t>Mountain</w:t>
      </w:r>
      <w:r>
        <w:rPr>
          <w:color w:val="000000"/>
        </w:rPr>
        <w:t xml:space="preserve">; </w:t>
      </w:r>
    </w:p>
    <w:p w:rsidR="0032395E" w:rsidRDefault="0032395E" w:rsidP="00D72EE9">
      <w:pPr>
        <w:numPr>
          <w:ilvl w:val="1"/>
          <w:numId w:val="23"/>
        </w:numPr>
        <w:pBdr>
          <w:top w:val="nil"/>
          <w:left w:val="nil"/>
          <w:bottom w:val="nil"/>
          <w:right w:val="nil"/>
          <w:between w:val="nil"/>
        </w:pBdr>
        <w:tabs>
          <w:tab w:val="left" w:pos="720"/>
          <w:tab w:val="left" w:pos="792"/>
          <w:tab w:val="left" w:pos="1080"/>
          <w:tab w:val="left" w:pos="1224"/>
          <w:tab w:val="left" w:pos="135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Pr>
          <w:color w:val="000000"/>
        </w:rPr>
        <w:t>The removal of productive agricultural land from agriculture use; and</w:t>
      </w:r>
    </w:p>
    <w:p w:rsidR="0032395E" w:rsidRDefault="0032395E" w:rsidP="00D72EE9">
      <w:pPr>
        <w:numPr>
          <w:ilvl w:val="1"/>
          <w:numId w:val="23"/>
        </w:numPr>
        <w:pBdr>
          <w:top w:val="nil"/>
          <w:left w:val="nil"/>
          <w:bottom w:val="nil"/>
          <w:right w:val="nil"/>
          <w:between w:val="nil"/>
        </w:pBdr>
        <w:tabs>
          <w:tab w:val="left" w:pos="720"/>
          <w:tab w:val="left" w:pos="792"/>
          <w:tab w:val="left" w:pos="1080"/>
          <w:tab w:val="left" w:pos="1224"/>
          <w:tab w:val="left" w:pos="135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rPr>
          <w:color w:val="000000"/>
        </w:rPr>
        <w:t>Sites that require public investment in transmission and distribution infrastructure in order to function properly</w:t>
      </w:r>
      <w:r>
        <w:t>;</w:t>
      </w:r>
    </w:p>
    <w:p w:rsidR="0032395E" w:rsidRDefault="0032395E" w:rsidP="00D72EE9">
      <w:pPr>
        <w:numPr>
          <w:ilvl w:val="1"/>
          <w:numId w:val="23"/>
        </w:numPr>
        <w:pBdr>
          <w:top w:val="nil"/>
          <w:left w:val="nil"/>
          <w:bottom w:val="nil"/>
          <w:right w:val="nil"/>
          <w:between w:val="nil"/>
        </w:pBdr>
        <w:tabs>
          <w:tab w:val="left" w:pos="720"/>
          <w:tab w:val="left" w:pos="792"/>
          <w:tab w:val="left" w:pos="1080"/>
          <w:tab w:val="left" w:pos="1224"/>
          <w:tab w:val="left" w:pos="135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t>Areas of forestland that need to be clear cut for the installation of solar arrays.</w:t>
      </w:r>
    </w:p>
    <w:p w:rsidR="0032395E" w:rsidRDefault="0032395E" w:rsidP="0032395E">
      <w:pPr>
        <w:pBdr>
          <w:top w:val="nil"/>
          <w:left w:val="nil"/>
          <w:bottom w:val="nil"/>
          <w:right w:val="nil"/>
          <w:between w:val="nil"/>
        </w:pBdr>
        <w:tabs>
          <w:tab w:val="left" w:pos="720"/>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p>
    <w:p w:rsidR="0032395E" w:rsidRDefault="0032395E" w:rsidP="0032395E">
      <w:pPr>
        <w:pBdr>
          <w:top w:val="nil"/>
          <w:left w:val="nil"/>
          <w:bottom w:val="nil"/>
          <w:right w:val="nil"/>
          <w:between w:val="nil"/>
        </w:pBdr>
      </w:pPr>
    </w:p>
    <w:p w:rsidR="0032395E" w:rsidRDefault="0032395E" w:rsidP="0032395E">
      <w:pPr>
        <w:pBdr>
          <w:top w:val="nil"/>
          <w:left w:val="nil"/>
          <w:bottom w:val="nil"/>
          <w:right w:val="nil"/>
          <w:between w:val="nil"/>
        </w:pBdr>
        <w:rPr>
          <w:b/>
          <w:color w:val="000000"/>
        </w:rPr>
      </w:pPr>
      <w:r>
        <w:rPr>
          <w:b/>
          <w:color w:val="000000"/>
        </w:rPr>
        <w:t xml:space="preserve">Mitigation methods  </w:t>
      </w:r>
    </w:p>
    <w:p w:rsidR="0032395E" w:rsidRDefault="0032395E" w:rsidP="00D72EE9">
      <w:pPr>
        <w:pStyle w:val="ListParagraph"/>
        <w:numPr>
          <w:ilvl w:val="0"/>
          <w:numId w:val="22"/>
        </w:numPr>
        <w:tabs>
          <w:tab w:val="left" w:pos="216"/>
          <w:tab w:val="left" w:pos="630"/>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t>Locate the structures on the site to keep them from being “skylined” above the horizon from public and private vantage points;</w:t>
      </w:r>
    </w:p>
    <w:p w:rsidR="0032395E" w:rsidRDefault="0032395E" w:rsidP="00D72EE9">
      <w:pPr>
        <w:pStyle w:val="ListParagraph"/>
        <w:numPr>
          <w:ilvl w:val="0"/>
          <w:numId w:val="22"/>
        </w:numPr>
        <w:tabs>
          <w:tab w:val="left" w:pos="216"/>
          <w:tab w:val="left" w:pos="630"/>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t>Shorter panels may be more appropriate in certain spaces than taller panels to keep the project lower on the landscape;</w:t>
      </w:r>
    </w:p>
    <w:p w:rsidR="0032395E" w:rsidRDefault="0032395E" w:rsidP="00D72EE9">
      <w:pPr>
        <w:pStyle w:val="ListParagraph"/>
        <w:numPr>
          <w:ilvl w:val="0"/>
          <w:numId w:val="22"/>
        </w:numPr>
        <w:tabs>
          <w:tab w:val="left" w:pos="216"/>
          <w:tab w:val="left" w:pos="630"/>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t>At a minimum, all solar arrays must observe the setback restrictions contained in Act 56 governing solar installations. However, developers are encouraged to increase setbacks to at least those listed in the Municipal Zoning Regulations within the Zoning District in which it lies;</w:t>
      </w:r>
    </w:p>
    <w:p w:rsidR="0032395E" w:rsidRDefault="0032395E" w:rsidP="00D72EE9">
      <w:pPr>
        <w:pStyle w:val="ListParagraph"/>
        <w:numPr>
          <w:ilvl w:val="0"/>
          <w:numId w:val="22"/>
        </w:numPr>
        <w:tabs>
          <w:tab w:val="left" w:pos="216"/>
          <w:tab w:val="left" w:pos="630"/>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t>Use the existing topography, development or vegetation on the site to screen and/or break the mass of the array;</w:t>
      </w:r>
    </w:p>
    <w:p w:rsidR="0032395E" w:rsidRDefault="0032395E" w:rsidP="00D72EE9">
      <w:pPr>
        <w:pStyle w:val="ListParagraph"/>
        <w:numPr>
          <w:ilvl w:val="0"/>
          <w:numId w:val="22"/>
        </w:numPr>
        <w:tabs>
          <w:tab w:val="left" w:pos="216"/>
          <w:tab w:val="left" w:pos="630"/>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pPr>
      <w:r>
        <w:t xml:space="preserve">In the absence of existing natural vegetation, the commercial development must be screened by native plantings beneficial to wildlife and pollinators that will grow to a sufficient height and depth to provide effective screening within a period of 5 years. Partial screening to break the mass of the site and to protect public and private views of the project may be appropriate; Plantings shall be made in accordance with a screening maintenance plan, included with application for and made a condition of the project’s Certificate of Public Good. Plants shall be native species that are beneficial to wildlife and pollinators. When installing pollinator plantings, the development should follow the voluntary pollinator-friendly solar standards as defined by the Solar Site Pollinator Habitat Planning &amp; Assessment Form available on the UVM website at: </w:t>
      </w:r>
      <w:r w:rsidRPr="007805D9">
        <w:rPr>
          <w:color w:val="0000FF"/>
          <w:sz w:val="20"/>
          <w:szCs w:val="20"/>
        </w:rPr>
        <w:t>https://www.uvm.edu/sites/default/files/Agriculture/Pollinator_Solar_Scorecard_FORM.pdf</w:t>
      </w:r>
    </w:p>
    <w:p w:rsidR="0032395E" w:rsidRDefault="0032395E" w:rsidP="0032395E">
      <w:pP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spacing w:after="200"/>
        <w:ind w:left="720" w:right="900"/>
      </w:pPr>
      <w:r>
        <w:tab/>
        <w:t>a) Such screening maintenance plan shall include at a minimum:</w:t>
      </w:r>
    </w:p>
    <w:p w:rsidR="0032395E" w:rsidRDefault="0032395E" w:rsidP="007805D9">
      <w:pPr>
        <w:tabs>
          <w:tab w:val="left" w:pos="216"/>
          <w:tab w:val="left" w:pos="1170"/>
          <w:tab w:val="left" w:pos="1224"/>
          <w:tab w:val="left" w:pos="126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1710" w:right="900" w:hanging="990"/>
      </w:pPr>
      <w:r>
        <w:tab/>
      </w:r>
      <w:r>
        <w:tab/>
        <w:t>(</w:t>
      </w:r>
      <w:proofErr w:type="spellStart"/>
      <w:r>
        <w:t>i</w:t>
      </w:r>
      <w:proofErr w:type="spellEnd"/>
      <w:r>
        <w:t>)      A schematic showing the location of both existing and planned planting material, earthwork and structures.</w:t>
      </w:r>
    </w:p>
    <w:p w:rsidR="0032395E" w:rsidRDefault="0032395E" w:rsidP="007805D9">
      <w:pPr>
        <w:tabs>
          <w:tab w:val="left" w:pos="216"/>
          <w:tab w:val="left" w:pos="1170"/>
          <w:tab w:val="left" w:pos="1224"/>
          <w:tab w:val="left" w:pos="126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1710" w:right="900" w:hanging="990"/>
      </w:pPr>
      <w:r>
        <w:tab/>
      </w:r>
      <w:r>
        <w:tab/>
        <w:t>(ii)    A plant material list including all plants to be made as part of the screening, listed by both common and botanical name, the size at installation, expected size at maturity, and expected number of years to maturity.</w:t>
      </w:r>
    </w:p>
    <w:p w:rsidR="0032395E" w:rsidRDefault="0032395E" w:rsidP="007805D9">
      <w:pPr>
        <w:tabs>
          <w:tab w:val="left" w:pos="216"/>
          <w:tab w:val="left" w:pos="1170"/>
          <w:tab w:val="left" w:pos="1224"/>
          <w:tab w:val="left" w:pos="126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1710" w:right="900" w:hanging="990"/>
      </w:pPr>
      <w:r>
        <w:tab/>
      </w:r>
      <w:r>
        <w:tab/>
        <w:t>(iii)   The name, telephone number, street address, and e-mail address of the person or persons responsible for screening installation and maintenance, the timing of installation, and a plan for ensuring year-round screening maintenance.</w:t>
      </w:r>
    </w:p>
    <w:p w:rsidR="0032395E" w:rsidRDefault="0032395E" w:rsidP="007805D9">
      <w:pPr>
        <w:tabs>
          <w:tab w:val="left" w:pos="216"/>
          <w:tab w:val="left" w:pos="1170"/>
          <w:tab w:val="left" w:pos="1224"/>
          <w:tab w:val="left" w:pos="126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1710" w:right="900" w:hanging="990"/>
      </w:pPr>
      <w:r>
        <w:tab/>
      </w:r>
      <w:r>
        <w:tab/>
        <w:t>(iv)   A copy of an on-going screening maintenance contract (which may have commercially sensitive price terms redacted). Such contract shall be for a term of no less than three years.</w:t>
      </w:r>
    </w:p>
    <w:p w:rsidR="0032395E" w:rsidRDefault="0032395E" w:rsidP="007805D9">
      <w:pPr>
        <w:tabs>
          <w:tab w:val="left" w:pos="216"/>
          <w:tab w:val="left" w:pos="1170"/>
          <w:tab w:val="left" w:pos="1224"/>
          <w:tab w:val="left" w:pos="126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1710" w:right="900" w:hanging="990"/>
      </w:pPr>
      <w:r>
        <w:tab/>
      </w:r>
      <w:r>
        <w:tab/>
        <w:t>(v)    Pre-construction photographic images of the site to document the site’s condition prior to planting or project construction. These images shall set the standard for decommissioning.</w:t>
      </w:r>
    </w:p>
    <w:p w:rsidR="0032395E" w:rsidRDefault="0032395E" w:rsidP="0032395E">
      <w:pPr>
        <w:tabs>
          <w:tab w:val="left" w:pos="216"/>
          <w:tab w:val="left" w:pos="1224"/>
          <w:tab w:val="left" w:pos="1260"/>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spacing w:after="200"/>
        <w:ind w:left="1440" w:right="900" w:hanging="810"/>
      </w:pPr>
      <w:r>
        <w:lastRenderedPageBreak/>
        <w:t>b)      The screening requirements of this Section apply year-round during the entire period of existence of a project, whether or not a solar project is still in service. Screening must remain in place and be maintained until a project has been fully decommissioned or deconstructed and the site restored to its condition prior to installation or construction.</w:t>
      </w:r>
    </w:p>
    <w:p w:rsidR="0032395E" w:rsidRDefault="0032395E" w:rsidP="0032395E">
      <w:pPr>
        <w:tabs>
          <w:tab w:val="left" w:pos="216"/>
          <w:tab w:val="left" w:pos="1224"/>
          <w:tab w:val="left" w:pos="1260"/>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spacing w:after="200"/>
        <w:ind w:left="1440" w:right="900" w:hanging="810"/>
      </w:pPr>
      <w:r>
        <w:t>c)       Where new screening materials must be installed or planted, natural, living, or native screening materials, such as native trees and shrubs, shall be used in lieu of artificial screening materials such as walls, fences, and other structures; provided, however, that limited use of artificial screening materials is permissible to the extent that</w:t>
      </w:r>
    </w:p>
    <w:p w:rsidR="0032395E" w:rsidRDefault="0032395E" w:rsidP="0032395E">
      <w:pPr>
        <w:tabs>
          <w:tab w:val="left" w:pos="216"/>
          <w:tab w:val="left" w:pos="1224"/>
          <w:tab w:val="left" w:pos="1260"/>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spacing w:after="200"/>
        <w:ind w:left="1440" w:right="900" w:hanging="810"/>
      </w:pPr>
      <w:r>
        <w:tab/>
      </w:r>
      <w:r>
        <w:tab/>
        <w:t>(</w:t>
      </w:r>
      <w:proofErr w:type="spellStart"/>
      <w:r>
        <w:t>i</w:t>
      </w:r>
      <w:proofErr w:type="spellEnd"/>
      <w:r>
        <w:t>) the use of living screening in that area is not feasible, and</w:t>
      </w:r>
    </w:p>
    <w:p w:rsidR="0032395E" w:rsidRDefault="0032395E" w:rsidP="0032395E">
      <w:pPr>
        <w:tabs>
          <w:tab w:val="left" w:pos="216"/>
          <w:tab w:val="left" w:pos="1224"/>
          <w:tab w:val="left" w:pos="1260"/>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spacing w:after="200"/>
        <w:ind w:left="1440" w:right="900" w:hanging="810"/>
      </w:pPr>
      <w:r>
        <w:tab/>
      </w:r>
      <w:r>
        <w:tab/>
        <w:t>(ii) the artificial screening is of size, scale and materials that are consistent with the character of the surrounding neighborhood and landscape. All planting must be completed within four weeks of the date on which the solar project first feeds electricity onto the electric grid (the “in service date”), or in the case of new commercial development the completion of principal construction. A solar project with an in-service date falling during frozen ground conditions must complete all plantings by May 31 of the same year.</w:t>
      </w:r>
    </w:p>
    <w:p w:rsidR="0032395E" w:rsidRDefault="0032395E" w:rsidP="0032395E">
      <w:pPr>
        <w:tabs>
          <w:tab w:val="left" w:pos="216"/>
          <w:tab w:val="left" w:pos="1224"/>
          <w:tab w:val="left" w:pos="1260"/>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spacing w:after="200"/>
        <w:ind w:left="1440" w:right="900" w:hanging="810"/>
      </w:pPr>
      <w:r>
        <w:t>d)      Maintenance of landscaping and screening shall be the joint responsibility of the developer and property owner on which the project is constructed, maintained and operated. Screening maintenance shall include at a minimum: watering, dead heading, trimming where appropriate, prompt replacement of any diseased, damaged or dead plant material, and control of invasive species, and in the case of any project such obligations shall be a condition of and enforced through any Certificate of Public Good granted by the PSB, or any successor administrative agency having jurisdiction over such a project.</w:t>
      </w:r>
    </w:p>
    <w:p w:rsidR="0032395E" w:rsidRDefault="0032395E" w:rsidP="00D72EE9">
      <w:pPr>
        <w:pStyle w:val="ListParagraph"/>
        <w:numPr>
          <w:ilvl w:val="0"/>
          <w:numId w:val="21"/>
        </w:numP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The siting of solar equipment shall minimize view blockage for surrounding properties. As an example, a landowner may not site an array on his or her property in a location calculated to diminish the visual impact of the array from his or her residence but places the array immediately within their neighbor’s or the public’s viewshed. Locating solar equipment in a manner designed to reduce impacts on neighbors or public viewsheds constitutes reasonable mitigation;</w:t>
      </w:r>
    </w:p>
    <w:p w:rsidR="0032395E" w:rsidRDefault="0032395E" w:rsidP="00D72EE9">
      <w:pPr>
        <w:pStyle w:val="ListParagraph"/>
        <w:numPr>
          <w:ilvl w:val="0"/>
          <w:numId w:val="21"/>
        </w:numP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Use black or earth tone materials (panels, supports fences) that blend into the landscape instead of metallic or other brighter colors).</w:t>
      </w:r>
    </w:p>
    <w:p w:rsidR="0032395E" w:rsidRDefault="0032395E" w:rsidP="00D72EE9">
      <w:pPr>
        <w:pStyle w:val="ListParagraph"/>
        <w:numPr>
          <w:ilvl w:val="0"/>
          <w:numId w:val="21"/>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Use fencing that a</w:t>
      </w:r>
      <w:r w:rsidRPr="0032395E">
        <w:rPr>
          <w:color w:val="000000"/>
        </w:rPr>
        <w:t>llows wildlife passage.</w:t>
      </w:r>
    </w:p>
    <w:p w:rsidR="0032395E" w:rsidRDefault="0032395E" w:rsidP="0032395E">
      <w:pPr>
        <w:pBdr>
          <w:top w:val="nil"/>
          <w:left w:val="nil"/>
          <w:bottom w:val="nil"/>
          <w:right w:val="nil"/>
          <w:between w:val="nil"/>
        </w:pBdr>
        <w:ind w:left="360" w:hanging="360"/>
      </w:pPr>
    </w:p>
    <w:p w:rsidR="007805D9" w:rsidRDefault="007805D9" w:rsidP="0032395E"/>
    <w:p w:rsidR="007805D9" w:rsidRDefault="007805D9" w:rsidP="0032395E"/>
    <w:p w:rsidR="007805D9" w:rsidRDefault="007805D9" w:rsidP="0032395E"/>
    <w:p w:rsidR="007805D9" w:rsidRDefault="007805D9" w:rsidP="0032395E"/>
    <w:p w:rsidR="007805D9" w:rsidRDefault="007805D9" w:rsidP="0032395E"/>
    <w:p w:rsidR="007805D9" w:rsidRDefault="007805D9" w:rsidP="0032395E"/>
    <w:p w:rsidR="007805D9" w:rsidRDefault="007805D9" w:rsidP="0032395E"/>
    <w:p w:rsidR="007805D9" w:rsidRDefault="007805D9" w:rsidP="0032395E"/>
    <w:p w:rsidR="007805D9" w:rsidRDefault="007805D9" w:rsidP="0032395E"/>
    <w:p w:rsidR="0032395E" w:rsidRDefault="0032395E" w:rsidP="0032395E">
      <w:r>
        <w:lastRenderedPageBreak/>
        <w:t>WIND:</w:t>
      </w:r>
    </w:p>
    <w:p w:rsidR="0032395E" w:rsidRDefault="0032395E" w:rsidP="0032395E">
      <w:r>
        <w:rPr>
          <w:i/>
          <w:u w:val="single"/>
        </w:rPr>
        <w:t>Residential (on property) Scale Wind</w:t>
      </w:r>
      <w:r>
        <w:t xml:space="preserve"> consists of a single tower less than 120 feet high generating less than 15kW of energy.</w:t>
      </w:r>
      <w:r w:rsidR="007D332C">
        <w:t xml:space="preserve"> </w:t>
      </w:r>
      <w:r w:rsidR="007D332C">
        <w:rPr>
          <w:color w:val="FF0000"/>
        </w:rPr>
        <w:t xml:space="preserve">Bristol </w:t>
      </w:r>
      <w:r w:rsidR="007D332C" w:rsidRPr="007D332C">
        <w:rPr>
          <w:b/>
          <w:bCs/>
          <w:color w:val="FF0000"/>
        </w:rPr>
        <w:t>supports</w:t>
      </w:r>
      <w:r w:rsidR="007D332C">
        <w:rPr>
          <w:color w:val="FF0000"/>
        </w:rPr>
        <w:t xml:space="preserve"> residential scale wind projects that meet its siting standards.</w:t>
      </w:r>
    </w:p>
    <w:p w:rsidR="0032395E" w:rsidRDefault="0032395E" w:rsidP="0032395E">
      <w:r>
        <w:t xml:space="preserve"> </w:t>
      </w:r>
    </w:p>
    <w:p w:rsidR="0032395E" w:rsidRDefault="0032395E" w:rsidP="0032395E">
      <w:r>
        <w:rPr>
          <w:u w:val="single"/>
        </w:rPr>
        <w:t>Co</w:t>
      </w:r>
      <w:r>
        <w:rPr>
          <w:i/>
          <w:u w:val="single"/>
        </w:rPr>
        <w:t>mmunity (Commercial) Scale Wind</w:t>
      </w:r>
      <w:r>
        <w:t xml:space="preserve"> consists of 1 or more towers all less than 200 feet high (so as not to require night lighting) and producing less than 1 MW of electricity.</w:t>
      </w:r>
      <w:r w:rsidR="007D332C">
        <w:t xml:space="preserve"> </w:t>
      </w:r>
      <w:r w:rsidR="007D332C">
        <w:rPr>
          <w:color w:val="FF0000"/>
        </w:rPr>
        <w:t xml:space="preserve">Bristol </w:t>
      </w:r>
      <w:r w:rsidR="007D332C" w:rsidRPr="007D332C">
        <w:rPr>
          <w:b/>
          <w:bCs/>
          <w:color w:val="FF0000"/>
        </w:rPr>
        <w:t>supports</w:t>
      </w:r>
      <w:r w:rsidR="007D332C">
        <w:rPr>
          <w:color w:val="FF0000"/>
        </w:rPr>
        <w:t xml:space="preserve"> community/commercial-scale wind projects that meet its siting standards</w:t>
      </w:r>
    </w:p>
    <w:p w:rsidR="0032395E" w:rsidRDefault="0032395E" w:rsidP="0032395E">
      <w:r>
        <w:t xml:space="preserve"> </w:t>
      </w:r>
    </w:p>
    <w:p w:rsidR="0032395E" w:rsidRDefault="0032395E" w:rsidP="0032395E">
      <w:pPr>
        <w:rPr>
          <w:color w:val="FF0000"/>
        </w:rPr>
      </w:pPr>
      <w:r>
        <w:rPr>
          <w:u w:val="single"/>
        </w:rPr>
        <w:t>Industrial Scale wind</w:t>
      </w:r>
      <w:r>
        <w:t xml:space="preserve"> consists of wind projects with a total capacity of greater than 1MW or with a tower or towers taller than 200 feet or requiring night lighting for any reason.</w:t>
      </w:r>
      <w:r w:rsidR="007D332C" w:rsidRPr="007D332C">
        <w:rPr>
          <w:color w:val="FF0000"/>
        </w:rPr>
        <w:t xml:space="preserve"> </w:t>
      </w:r>
      <w:r w:rsidR="007D332C">
        <w:rPr>
          <w:color w:val="FF0000"/>
        </w:rPr>
        <w:t xml:space="preserve">Bristol </w:t>
      </w:r>
      <w:r w:rsidR="007D332C">
        <w:rPr>
          <w:b/>
          <w:bCs/>
          <w:color w:val="FF0000"/>
        </w:rPr>
        <w:t>prohibit</w:t>
      </w:r>
      <w:r w:rsidR="007D332C" w:rsidRPr="007D332C">
        <w:rPr>
          <w:b/>
          <w:bCs/>
          <w:color w:val="FF0000"/>
        </w:rPr>
        <w:t>s</w:t>
      </w:r>
      <w:r w:rsidR="007D332C">
        <w:rPr>
          <w:color w:val="FF0000"/>
        </w:rPr>
        <w:t xml:space="preserve"> industrial-scale wind projects within the town.</w:t>
      </w:r>
    </w:p>
    <w:p w:rsidR="007D332C" w:rsidRDefault="007D332C" w:rsidP="0032395E"/>
    <w:p w:rsidR="0032395E" w:rsidRDefault="0032395E" w:rsidP="007D332C">
      <w:pPr>
        <w:pBdr>
          <w:top w:val="nil"/>
          <w:left w:val="nil"/>
          <w:bottom w:val="nil"/>
          <w:right w:val="nil"/>
          <w:between w:val="nil"/>
        </w:pBdr>
      </w:pPr>
      <w:r>
        <w:rPr>
          <w:b/>
        </w:rPr>
        <w:t>1</w:t>
      </w:r>
      <w:r>
        <w:t xml:space="preserve">. </w:t>
      </w:r>
      <w:r>
        <w:rPr>
          <w:b/>
        </w:rPr>
        <w:t>Siting</w:t>
      </w:r>
      <w:r>
        <w:t>:</w:t>
      </w:r>
    </w:p>
    <w:p w:rsidR="0032395E" w:rsidRDefault="0032395E" w:rsidP="007D332C">
      <w:pPr>
        <w:pBdr>
          <w:top w:val="nil"/>
          <w:left w:val="nil"/>
          <w:bottom w:val="nil"/>
          <w:right w:val="nil"/>
          <w:between w:val="nil"/>
        </w:pBdr>
      </w:pPr>
      <w:r>
        <w:t>Good sites have one or more of the following characteristics:</w:t>
      </w:r>
    </w:p>
    <w:p w:rsidR="0032395E" w:rsidRDefault="0032395E" w:rsidP="00D72EE9">
      <w:pPr>
        <w:numPr>
          <w:ilvl w:val="0"/>
          <w:numId w:val="17"/>
        </w:numPr>
        <w:pBdr>
          <w:top w:val="nil"/>
          <w:left w:val="nil"/>
          <w:bottom w:val="nil"/>
          <w:right w:val="nil"/>
          <w:between w:val="nil"/>
        </w:pBdr>
      </w:pPr>
      <w:r>
        <w:t>Systems located in close proximity to existing larger scale, commercial, industrial or agricultural buildings;</w:t>
      </w:r>
    </w:p>
    <w:p w:rsidR="0032395E" w:rsidRDefault="0032395E" w:rsidP="00D72EE9">
      <w:pPr>
        <w:numPr>
          <w:ilvl w:val="0"/>
          <w:numId w:val="17"/>
        </w:numPr>
        <w:pBdr>
          <w:top w:val="nil"/>
          <w:left w:val="nil"/>
          <w:bottom w:val="nil"/>
          <w:right w:val="nil"/>
          <w:between w:val="nil"/>
        </w:pBdr>
      </w:pPr>
      <w:r>
        <w:t>Proximity to existing transmission system to minimize the new infrastructure required to serve the project;</w:t>
      </w:r>
    </w:p>
    <w:p w:rsidR="0032395E" w:rsidRDefault="0032395E" w:rsidP="00D72EE9">
      <w:pPr>
        <w:numPr>
          <w:ilvl w:val="0"/>
          <w:numId w:val="17"/>
        </w:numPr>
      </w:pPr>
      <w:r>
        <w:t>Reuse of former impacted property or brownfields that have qualified for and are listed in the State of Vermont Brownfield program.</w:t>
      </w:r>
    </w:p>
    <w:p w:rsidR="0032395E" w:rsidRDefault="0032395E" w:rsidP="00D72EE9">
      <w:pPr>
        <w:numPr>
          <w:ilvl w:val="0"/>
          <w:numId w:val="17"/>
        </w:numPr>
      </w:pPr>
      <w:r>
        <w:t>Significant isolation distances from existing residential uses to allow the noise from the turbine to dissipate to a level of at least the State decibel standard before it reaches the property line.</w:t>
      </w:r>
    </w:p>
    <w:p w:rsidR="0032395E" w:rsidRDefault="0032395E" w:rsidP="00D72EE9">
      <w:pPr>
        <w:numPr>
          <w:ilvl w:val="0"/>
          <w:numId w:val="17"/>
        </w:numPr>
      </w:pPr>
      <w:r>
        <w:t>Sites designated as “preferred” areas by this plan.</w:t>
      </w:r>
    </w:p>
    <w:p w:rsidR="0032395E" w:rsidRDefault="0032395E" w:rsidP="0032395E"/>
    <w:p w:rsidR="0032395E" w:rsidRDefault="0032395E" w:rsidP="0032395E">
      <w:pPr>
        <w:pBdr>
          <w:top w:val="nil"/>
          <w:left w:val="nil"/>
          <w:bottom w:val="nil"/>
          <w:right w:val="nil"/>
          <w:between w:val="nil"/>
        </w:pBdr>
      </w:pPr>
      <w:r>
        <w:t>Poor Sites have one or more of the following characteristics:</w:t>
      </w:r>
    </w:p>
    <w:p w:rsidR="0032395E" w:rsidRDefault="0032395E" w:rsidP="0032395E">
      <w:pPr>
        <w:ind w:left="620" w:hanging="80"/>
      </w:pPr>
      <w:r>
        <w:t>A location in proximity to and interfering with a significant viewshed.</w:t>
      </w:r>
    </w:p>
    <w:p w:rsidR="0032395E" w:rsidRDefault="0032395E" w:rsidP="0032395E">
      <w:pPr>
        <w:ind w:left="620" w:hanging="80"/>
      </w:pPr>
      <w:r>
        <w:t>Sites that require public investment in transmission and distribution infrastructure in order to function properly.</w:t>
      </w:r>
    </w:p>
    <w:p w:rsidR="0032395E" w:rsidRDefault="0032395E" w:rsidP="0032395E">
      <w:pPr>
        <w:ind w:left="620" w:hanging="80"/>
      </w:pPr>
      <w:r>
        <w:t>Sites impacting significant natural resources.</w:t>
      </w:r>
    </w:p>
    <w:p w:rsidR="0032395E" w:rsidRDefault="0032395E" w:rsidP="0032395E">
      <w:pPr>
        <w:pBdr>
          <w:top w:val="nil"/>
          <w:left w:val="nil"/>
          <w:bottom w:val="nil"/>
          <w:right w:val="nil"/>
          <w:between w:val="nil"/>
        </w:pBdr>
      </w:pPr>
    </w:p>
    <w:p w:rsidR="0032395E" w:rsidRDefault="0032395E" w:rsidP="0032395E">
      <w:p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rPr>
          <w:sz w:val="22"/>
          <w:szCs w:val="22"/>
        </w:rPr>
      </w:pPr>
      <w:r>
        <w:rPr>
          <w:b/>
          <w:sz w:val="22"/>
          <w:szCs w:val="22"/>
        </w:rPr>
        <w:t>Mitigation methods</w:t>
      </w:r>
      <w:r>
        <w:rPr>
          <w:sz w:val="22"/>
          <w:szCs w:val="22"/>
        </w:rPr>
        <w:t>:</w:t>
      </w:r>
    </w:p>
    <w:p w:rsidR="0032395E" w:rsidRDefault="0032395E" w:rsidP="00D72EE9">
      <w:pPr>
        <w:pStyle w:val="ListParagraph"/>
        <w:numPr>
          <w:ilvl w:val="0"/>
          <w:numId w:val="20"/>
        </w:numP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At a minimum, all wind turbines must observe setback restrictions such that if a tower falls, the entire structure will land on property owned or controlled by the tower’s owner. Commercial Developers must increase setbacks to mitigate noise to State decibel standard and mitigate shadowing impacts.</w:t>
      </w:r>
    </w:p>
    <w:p w:rsidR="0032395E" w:rsidRDefault="0032395E" w:rsidP="00D72EE9">
      <w:pPr>
        <w:pStyle w:val="ListParagraph"/>
        <w:numPr>
          <w:ilvl w:val="0"/>
          <w:numId w:val="20"/>
        </w:numP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Use white or other colored materials (tower, hub blades) and earth tones for ground infrastructure or fences that blend into the landscape instead of metallic or other brighter colors).</w:t>
      </w:r>
    </w:p>
    <w:p w:rsidR="0032395E" w:rsidRDefault="0032395E" w:rsidP="00D72EE9">
      <w:pPr>
        <w:pStyle w:val="ListParagraph"/>
        <w:numPr>
          <w:ilvl w:val="0"/>
          <w:numId w:val="20"/>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 xml:space="preserve">Wind turbines are likely to be most appropriate within agricultural, commercial or industrial contexts and should be sited, where practical, near other structures. </w:t>
      </w:r>
    </w:p>
    <w:p w:rsidR="0032395E" w:rsidRDefault="0032395E" w:rsidP="00D72EE9">
      <w:pPr>
        <w:pStyle w:val="ListParagraph"/>
        <w:numPr>
          <w:ilvl w:val="0"/>
          <w:numId w:val="20"/>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 xml:space="preserve">In landscapes valued for natural or scenic features, particularly the views from downtown and towards Bristol Pond, Deer Leap, and Hogback Mountain, siting will be evaluated for potential visual impacts on scenic views and the experience of a natural landscape.  </w:t>
      </w:r>
    </w:p>
    <w:p w:rsidR="0032395E" w:rsidRDefault="0032395E" w:rsidP="00D72EE9">
      <w:pPr>
        <w:pStyle w:val="ListParagraph"/>
        <w:numPr>
          <w:ilvl w:val="0"/>
          <w:numId w:val="20"/>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Steps should be taken to reduce impacts on wildlife including the flight and migration patterns of birds.</w:t>
      </w:r>
    </w:p>
    <w:p w:rsidR="0032395E" w:rsidRPr="0032395E" w:rsidRDefault="0032395E" w:rsidP="00D72EE9">
      <w:pPr>
        <w:pStyle w:val="ListParagraph"/>
        <w:numPr>
          <w:ilvl w:val="0"/>
          <w:numId w:val="20"/>
        </w:numPr>
        <w:pBdr>
          <w:top w:val="nil"/>
          <w:left w:val="nil"/>
          <w:bottom w:val="nil"/>
          <w:right w:val="nil"/>
          <w:between w:val="nil"/>
        </w:pBdr>
        <w:tabs>
          <w:tab w:val="left" w:pos="216"/>
          <w:tab w:val="left" w:pos="792"/>
          <w:tab w:val="left" w:pos="1224"/>
          <w:tab w:val="left" w:pos="1440"/>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rPr>
          <w:color w:val="000000"/>
        </w:rPr>
      </w:pPr>
      <w:r w:rsidRPr="0032395E">
        <w:rPr>
          <w:color w:val="000000"/>
        </w:rPr>
        <w:t xml:space="preserve">No wind towers requiring night lighting </w:t>
      </w:r>
      <w:r>
        <w:t>(wind turbines with a total height greater than 200 ft.)</w:t>
      </w:r>
      <w:r w:rsidRPr="0032395E">
        <w:rPr>
          <w:color w:val="000000"/>
        </w:rPr>
        <w:t xml:space="preserve"> shall be allowed within the Town of Bristol </w:t>
      </w:r>
    </w:p>
    <w:p w:rsidR="0032395E" w:rsidRDefault="0032395E" w:rsidP="0032395E">
      <w:pPr>
        <w:pBdr>
          <w:top w:val="nil"/>
          <w:left w:val="nil"/>
          <w:bottom w:val="nil"/>
          <w:right w:val="nil"/>
          <w:between w:val="nil"/>
        </w:pBd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lastRenderedPageBreak/>
        <w:t>TRANSMISSION LINES</w:t>
      </w:r>
    </w:p>
    <w:p w:rsidR="0032395E" w:rsidRDefault="0032395E" w:rsidP="0032395E">
      <w:pPr>
        <w:pBdr>
          <w:top w:val="nil"/>
          <w:left w:val="nil"/>
          <w:bottom w:val="nil"/>
          <w:right w:val="nil"/>
          <w:between w:val="nil"/>
        </w:pBd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 xml:space="preserve">1. </w:t>
      </w:r>
      <w:r>
        <w:rPr>
          <w:b/>
        </w:rPr>
        <w:t>Siting</w:t>
      </w:r>
      <w:r>
        <w:t>:</w:t>
      </w:r>
    </w:p>
    <w:p w:rsidR="0032395E" w:rsidRDefault="0032395E" w:rsidP="0032395E">
      <w:pPr>
        <w:pBdr>
          <w:top w:val="nil"/>
          <w:left w:val="nil"/>
          <w:bottom w:val="nil"/>
          <w:right w:val="nil"/>
          <w:between w:val="nil"/>
        </w:pBd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Good sites have one or more of the following characteristics:</w:t>
      </w:r>
    </w:p>
    <w:p w:rsidR="0032395E" w:rsidRDefault="0032395E" w:rsidP="0032395E">
      <w:p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hanging="180"/>
      </w:pPr>
      <w:r>
        <w:t>· Systems located in close proximity to existing larger scale, commercial, industrial or agricultural buildings;</w:t>
      </w:r>
    </w:p>
    <w:p w:rsidR="0032395E" w:rsidRDefault="0032395E" w:rsidP="0032395E">
      <w:p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hanging="180"/>
      </w:pPr>
      <w:r>
        <w:t>· Proximity to existing hedgerows or other topographical features that naturally screen the proposed corridor from view from at least two sides;</w:t>
      </w:r>
    </w:p>
    <w:p w:rsidR="0032395E" w:rsidRDefault="0032395E" w:rsidP="0032395E">
      <w:p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hanging="180"/>
      </w:pPr>
      <w:r>
        <w:t>· Shared or neighboring ROW with other transmission or transportation infrastructure.</w:t>
      </w:r>
    </w:p>
    <w:p w:rsidR="0032395E" w:rsidRDefault="0032395E" w:rsidP="0032395E">
      <w:p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hanging="180"/>
      </w:pPr>
      <w:r>
        <w:t xml:space="preserve"> </w:t>
      </w:r>
    </w:p>
    <w:p w:rsidR="0032395E" w:rsidRDefault="0032395E" w:rsidP="0032395E">
      <w:p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Poor Sites have one or more of the following characteristics:</w:t>
      </w:r>
    </w:p>
    <w:p w:rsidR="0032395E" w:rsidRDefault="0032395E" w:rsidP="0032395E">
      <w:p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hanging="180"/>
      </w:pPr>
      <w:r>
        <w:t>· No natural screening;</w:t>
      </w:r>
    </w:p>
    <w:p w:rsidR="0032395E" w:rsidRDefault="0032395E" w:rsidP="0032395E">
      <w:p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hanging="180"/>
      </w:pPr>
      <w:r>
        <w:t>· Topography that causes the lines to be visible against the skyline from common vantage points like roads or neighborhoods;</w:t>
      </w:r>
    </w:p>
    <w:p w:rsidR="0032395E" w:rsidRDefault="0032395E" w:rsidP="0032395E">
      <w:p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720" w:right="900" w:hanging="180"/>
      </w:pPr>
      <w:r>
        <w:t>· The removal of productive agricultural land from agricultural use;</w:t>
      </w:r>
    </w:p>
    <w:p w:rsidR="0032395E" w:rsidRDefault="0032395E" w:rsidP="0032395E">
      <w:pPr>
        <w:pBdr>
          <w:top w:val="nil"/>
          <w:left w:val="nil"/>
          <w:bottom w:val="nil"/>
          <w:right w:val="nil"/>
          <w:between w:val="nil"/>
        </w:pBd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p>
    <w:p w:rsidR="0032395E" w:rsidRDefault="0032395E" w:rsidP="0032395E">
      <w:pPr>
        <w:pBdr>
          <w:top w:val="nil"/>
          <w:left w:val="nil"/>
          <w:bottom w:val="nil"/>
          <w:right w:val="nil"/>
          <w:between w:val="nil"/>
        </w:pBd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p>
    <w:p w:rsidR="0032395E" w:rsidRDefault="0032395E" w:rsidP="0032395E">
      <w:pPr>
        <w:pBdr>
          <w:top w:val="nil"/>
          <w:left w:val="nil"/>
          <w:bottom w:val="nil"/>
          <w:right w:val="nil"/>
          <w:between w:val="nil"/>
        </w:pBd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 xml:space="preserve">2. </w:t>
      </w:r>
      <w:r>
        <w:rPr>
          <w:b/>
        </w:rPr>
        <w:t>Mitigation methods</w:t>
      </w:r>
      <w:r>
        <w:t>:</w:t>
      </w:r>
    </w:p>
    <w:p w:rsidR="0032395E" w:rsidRDefault="0032395E" w:rsidP="00D72EE9">
      <w:pPr>
        <w:numPr>
          <w:ilvl w:val="0"/>
          <w:numId w:val="3"/>
        </w:numPr>
        <w:pBdr>
          <w:top w:val="nil"/>
          <w:left w:val="nil"/>
          <w:bottom w:val="nil"/>
          <w:right w:val="nil"/>
          <w:between w:val="nil"/>
        </w:pBd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Consider burying the transmission infrastructure in sensitive areas;</w:t>
      </w:r>
    </w:p>
    <w:p w:rsidR="0032395E" w:rsidRDefault="0032395E" w:rsidP="00D72EE9">
      <w:pPr>
        <w:numPr>
          <w:ilvl w:val="0"/>
          <w:numId w:val="3"/>
        </w:num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Locate the structures on the site to keep them from being “skylined” above the horizon from public and private vantage points;</w:t>
      </w:r>
    </w:p>
    <w:p w:rsidR="0032395E" w:rsidRDefault="0032395E" w:rsidP="00D72EE9">
      <w:pPr>
        <w:numPr>
          <w:ilvl w:val="0"/>
          <w:numId w:val="3"/>
        </w:num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Shorter towers may be more appropriate in certain spaces than taller towers to keep the project lower on the landscape;</w:t>
      </w:r>
    </w:p>
    <w:p w:rsidR="0032395E" w:rsidRDefault="0032395E" w:rsidP="00D72EE9">
      <w:pPr>
        <w:numPr>
          <w:ilvl w:val="0"/>
          <w:numId w:val="3"/>
        </w:num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Developers are encouraged to increase setbacks away from public roads to reduce the views of the infrastructure;</w:t>
      </w:r>
    </w:p>
    <w:p w:rsidR="0032395E" w:rsidRDefault="0032395E" w:rsidP="00D72EE9">
      <w:pPr>
        <w:numPr>
          <w:ilvl w:val="0"/>
          <w:numId w:val="3"/>
        </w:num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Use the existing topography, development or vegetation to screen and/or break the mass of the transmission facility;</w:t>
      </w:r>
    </w:p>
    <w:p w:rsidR="0032395E" w:rsidRDefault="0032395E" w:rsidP="00D72EE9">
      <w:pPr>
        <w:numPr>
          <w:ilvl w:val="0"/>
          <w:numId w:val="3"/>
        </w:num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In the absence of existing natural vegetation, the commercial development must be screened by native plantings beneficial to wildlife and pollinators that will grow to a sufficient height and depth to provide effective screening within a period of 5 years. Partial screening to break the mass of the site and to protect public and private views of the project may be appropriate;</w:t>
      </w:r>
    </w:p>
    <w:p w:rsidR="0032395E" w:rsidRDefault="0032395E" w:rsidP="00D72EE9">
      <w:pPr>
        <w:numPr>
          <w:ilvl w:val="0"/>
          <w:numId w:val="3"/>
        </w:numPr>
        <w:tabs>
          <w:tab w:val="left" w:pos="216"/>
          <w:tab w:val="left" w:pos="792"/>
          <w:tab w:val="left" w:pos="1224"/>
          <w:tab w:val="left" w:pos="1656"/>
          <w:tab w:val="left" w:pos="2088"/>
          <w:tab w:val="left" w:pos="2520"/>
          <w:tab w:val="left" w:pos="3240"/>
          <w:tab w:val="left" w:pos="3960"/>
          <w:tab w:val="left" w:pos="4680"/>
          <w:tab w:val="left" w:pos="5400"/>
          <w:tab w:val="left" w:pos="6120"/>
          <w:tab w:val="left" w:pos="6840"/>
          <w:tab w:val="left" w:pos="7560"/>
          <w:tab w:val="left" w:pos="828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right="900"/>
      </w:pPr>
      <w:r>
        <w:t>Use black or earth tone materials that blend into the landscape instead of metallic or other brighter colors.</w:t>
      </w:r>
    </w:p>
    <w:p w:rsidR="0032395E" w:rsidRDefault="0032395E" w:rsidP="0032395E">
      <w:pPr>
        <w:pStyle w:val="Heading5"/>
        <w:keepNext w:val="0"/>
        <w:keepLines w:val="0"/>
        <w:rPr>
          <w:b w:val="0"/>
          <w:sz w:val="24"/>
          <w:szCs w:val="24"/>
        </w:rPr>
      </w:pPr>
      <w:bookmarkStart w:id="4" w:name="_hr5h2297zino" w:colFirst="0" w:colLast="0"/>
      <w:bookmarkEnd w:id="4"/>
      <w:r>
        <w:rPr>
          <w:b w:val="0"/>
          <w:sz w:val="24"/>
          <w:szCs w:val="24"/>
        </w:rPr>
        <w:t>SUBSTATIONS</w:t>
      </w:r>
    </w:p>
    <w:p w:rsidR="0032395E" w:rsidRDefault="0032395E" w:rsidP="0032395E">
      <w:pPr>
        <w:rPr>
          <w:b/>
        </w:rPr>
      </w:pPr>
      <w:r>
        <w:t xml:space="preserve">1. </w:t>
      </w:r>
      <w:r>
        <w:rPr>
          <w:b/>
        </w:rPr>
        <w:t>Siting:</w:t>
      </w:r>
    </w:p>
    <w:p w:rsidR="0032395E" w:rsidRDefault="0032395E" w:rsidP="0032395E">
      <w:pPr>
        <w:pBdr>
          <w:top w:val="nil"/>
          <w:left w:val="nil"/>
          <w:bottom w:val="nil"/>
          <w:right w:val="nil"/>
          <w:between w:val="nil"/>
        </w:pBdr>
      </w:pPr>
      <w:r>
        <w:t>Good sites have one or more of the following characteristics:</w:t>
      </w:r>
    </w:p>
    <w:p w:rsidR="0032395E" w:rsidRDefault="0032395E" w:rsidP="0032395E">
      <w:pPr>
        <w:ind w:left="720" w:hanging="180"/>
      </w:pPr>
      <w:r>
        <w:t>· Systems located in close proximity to existing larger scale, commercial, industrial or agricultural buildings;</w:t>
      </w:r>
    </w:p>
    <w:p w:rsidR="0032395E" w:rsidRDefault="0032395E" w:rsidP="0032395E">
      <w:pPr>
        <w:ind w:left="720" w:hanging="180"/>
      </w:pPr>
      <w:r>
        <w:t>· Proximity to existing hedgerows or other topographical features that naturally screen the proposed array from view from at least two sides;</w:t>
      </w:r>
    </w:p>
    <w:p w:rsidR="0032395E" w:rsidRDefault="0032395E" w:rsidP="0032395E">
      <w:pPr>
        <w:ind w:left="720" w:hanging="180"/>
      </w:pPr>
      <w:r>
        <w:t>· Reuse of former impacted property or brownfields that have qualified for and are listed in the State of Vermont Brownfield program;</w:t>
      </w:r>
    </w:p>
    <w:p w:rsidR="0032395E" w:rsidRDefault="0032395E" w:rsidP="0032395E">
      <w:pPr>
        <w:ind w:left="720" w:hanging="180"/>
      </w:pPr>
      <w:r>
        <w:t xml:space="preserve"> </w:t>
      </w:r>
    </w:p>
    <w:p w:rsidR="0032395E" w:rsidRDefault="0032395E" w:rsidP="0032395E">
      <w:r>
        <w:t>Poor Sites have one or more of the following characteristics:</w:t>
      </w:r>
    </w:p>
    <w:p w:rsidR="0032395E" w:rsidRDefault="0032395E" w:rsidP="0032395E">
      <w:pPr>
        <w:ind w:left="720" w:hanging="180"/>
      </w:pPr>
      <w:r>
        <w:t>· No natural screening;</w:t>
      </w:r>
    </w:p>
    <w:p w:rsidR="0032395E" w:rsidRDefault="0032395E" w:rsidP="0032395E">
      <w:pPr>
        <w:ind w:left="720" w:hanging="180"/>
      </w:pPr>
      <w:r>
        <w:t>· Topography that causes the substation to be visible against the skyline from common vantage points like roads or neighborhoods;</w:t>
      </w:r>
    </w:p>
    <w:p w:rsidR="0032395E" w:rsidRDefault="0032395E" w:rsidP="0032395E">
      <w:pPr>
        <w:ind w:left="720" w:hanging="180"/>
      </w:pPr>
      <w:r>
        <w:t>· A location in proximity to and interfering with a significant viewshed.</w:t>
      </w:r>
    </w:p>
    <w:p w:rsidR="0032395E" w:rsidRDefault="0032395E" w:rsidP="0032395E">
      <w:pPr>
        <w:ind w:left="720" w:hanging="180"/>
      </w:pPr>
      <w:r>
        <w:t>· The removal of productive agricultural land from agricultural use;</w:t>
      </w:r>
    </w:p>
    <w:p w:rsidR="0032395E" w:rsidRDefault="0032395E" w:rsidP="0032395E">
      <w:pPr>
        <w:rPr>
          <w:u w:val="single"/>
        </w:rPr>
      </w:pPr>
      <w:r>
        <w:rPr>
          <w:u w:val="single"/>
        </w:rPr>
        <w:lastRenderedPageBreak/>
        <w:t xml:space="preserve"> </w:t>
      </w:r>
    </w:p>
    <w:p w:rsidR="0032395E" w:rsidRDefault="0032395E" w:rsidP="0032395E">
      <w:pPr>
        <w:pBdr>
          <w:top w:val="nil"/>
          <w:left w:val="nil"/>
          <w:bottom w:val="nil"/>
          <w:right w:val="nil"/>
          <w:between w:val="nil"/>
        </w:pBdr>
        <w:rPr>
          <w:b/>
        </w:rPr>
      </w:pPr>
      <w:r>
        <w:t xml:space="preserve">2. </w:t>
      </w:r>
      <w:r>
        <w:rPr>
          <w:b/>
        </w:rPr>
        <w:t>Mitigation methods:</w:t>
      </w:r>
    </w:p>
    <w:p w:rsidR="0032395E" w:rsidRDefault="0032395E" w:rsidP="00D72EE9">
      <w:pPr>
        <w:numPr>
          <w:ilvl w:val="0"/>
          <w:numId w:val="8"/>
        </w:numPr>
      </w:pPr>
      <w:r>
        <w:t>Locate the structures on the site to keep them from being “skylined” above the horizon from public and private vantage points;</w:t>
      </w:r>
    </w:p>
    <w:p w:rsidR="0032395E" w:rsidRDefault="0032395E" w:rsidP="00D72EE9">
      <w:pPr>
        <w:numPr>
          <w:ilvl w:val="0"/>
          <w:numId w:val="8"/>
        </w:numPr>
      </w:pPr>
      <w:r>
        <w:t>Shorter structures may be more appropriate in certain spaces than taller structures to keep the project lower on the landscape;</w:t>
      </w:r>
    </w:p>
    <w:p w:rsidR="0032395E" w:rsidRDefault="0032395E" w:rsidP="00D72EE9">
      <w:pPr>
        <w:numPr>
          <w:ilvl w:val="0"/>
          <w:numId w:val="8"/>
        </w:numPr>
      </w:pPr>
      <w:r>
        <w:t>Developers shall meet setbacks equal to those listed in the Municipal Zoning Regulations within the Zoning District in which it lies;</w:t>
      </w:r>
    </w:p>
    <w:p w:rsidR="0032395E" w:rsidRDefault="0032395E" w:rsidP="00D72EE9">
      <w:pPr>
        <w:numPr>
          <w:ilvl w:val="0"/>
          <w:numId w:val="8"/>
        </w:numPr>
      </w:pPr>
      <w:r>
        <w:t>Use the existing topography, development or vegetation on the site to screen and/or break the mass of the substation;</w:t>
      </w:r>
    </w:p>
    <w:p w:rsidR="0032395E" w:rsidRDefault="0032395E" w:rsidP="00D72EE9">
      <w:pPr>
        <w:numPr>
          <w:ilvl w:val="0"/>
          <w:numId w:val="8"/>
        </w:numPr>
      </w:pPr>
      <w:r>
        <w:t>In the absence of existing natural vegetation, the substation must be screened by native plantings beneficial to wildlife and pollinators that will grow to a sufficient height and depth to provide effective screening within a period of 5 years. Partial screening to break the mass of the site and to protect public and private views of the project may be appropriate;</w:t>
      </w:r>
    </w:p>
    <w:p w:rsidR="0032395E" w:rsidRDefault="0032395E" w:rsidP="00D72EE9">
      <w:pPr>
        <w:numPr>
          <w:ilvl w:val="0"/>
          <w:numId w:val="8"/>
        </w:numPr>
      </w:pPr>
      <w:r>
        <w:t>Practice a “good neighbor policy”. Site the sub-station so that it creates no greater burden on neighboring property owners or public infrastructure than it does on the property on which it is sited;</w:t>
      </w:r>
    </w:p>
    <w:p w:rsidR="0032395E" w:rsidRDefault="0032395E" w:rsidP="00D72EE9">
      <w:pPr>
        <w:numPr>
          <w:ilvl w:val="0"/>
          <w:numId w:val="8"/>
        </w:numPr>
      </w:pPr>
      <w:r>
        <w:t>Use black or earth tone materials (panels, supports fences) that blend into the landscape instead of metallic or other brighter colors).</w:t>
      </w:r>
    </w:p>
    <w:p w:rsidR="0032395E" w:rsidRDefault="0032395E" w:rsidP="0032395E">
      <w:pPr>
        <w:ind w:left="720"/>
        <w:rPr>
          <w:u w:val="single"/>
        </w:rPr>
      </w:pPr>
    </w:p>
    <w:p w:rsidR="0032395E" w:rsidRDefault="0032395E" w:rsidP="0032395E">
      <w:pPr>
        <w:pBdr>
          <w:top w:val="nil"/>
          <w:left w:val="nil"/>
          <w:bottom w:val="nil"/>
          <w:right w:val="nil"/>
          <w:between w:val="nil"/>
        </w:pBdr>
        <w:rPr>
          <w:u w:val="single"/>
        </w:rPr>
      </w:pPr>
      <w:r>
        <w:rPr>
          <w:u w:val="single"/>
        </w:rPr>
        <w:t xml:space="preserve">DECOMMISSIONING AND RESTORATION </w:t>
      </w:r>
    </w:p>
    <w:p w:rsidR="0032395E" w:rsidRDefault="0032395E" w:rsidP="0032395E">
      <w:pPr>
        <w:pBdr>
          <w:top w:val="nil"/>
          <w:left w:val="nil"/>
          <w:bottom w:val="nil"/>
          <w:right w:val="nil"/>
          <w:between w:val="nil"/>
        </w:pBdr>
      </w:pPr>
      <w:r>
        <w:t>All projects shall be decommissioned at the end of their useful life.  This means equipment shall be removed, landscaping kept and disturbed areas restored. Developers of all non-residential (commercial and industrial) projects shall provide the municipality with appropriate assurances to guarantee funding exists to decommission the project. In Bristol the requirements of section 5.904 (A) shall apply to commercial scale solar installations greater than 100 kW.</w:t>
      </w:r>
    </w:p>
    <w:p w:rsidR="00C50CE0" w:rsidRDefault="00C50CE0">
      <w:pPr>
        <w:pBdr>
          <w:top w:val="nil"/>
          <w:left w:val="nil"/>
          <w:bottom w:val="nil"/>
          <w:right w:val="nil"/>
          <w:between w:val="nil"/>
        </w:pBdr>
        <w:spacing w:line="259" w:lineRule="auto"/>
      </w:pPr>
    </w:p>
    <w:p w:rsidR="00C50CE0" w:rsidRDefault="0032395E">
      <w:pPr>
        <w:spacing w:line="259" w:lineRule="auto"/>
        <w:jc w:val="center"/>
        <w:rPr>
          <w:b/>
        </w:rPr>
      </w:pPr>
      <w:r>
        <w:br w:type="page"/>
      </w:r>
    </w:p>
    <w:p w:rsidR="00C50CE0" w:rsidRDefault="0032395E">
      <w:pPr>
        <w:spacing w:line="259" w:lineRule="auto"/>
        <w:jc w:val="center"/>
        <w:rPr>
          <w:b/>
        </w:rPr>
      </w:pPr>
      <w:r>
        <w:rPr>
          <w:b/>
        </w:rPr>
        <w:lastRenderedPageBreak/>
        <w:t>Bristol Enhanced Energy Plan Maps</w:t>
      </w:r>
    </w:p>
    <w:p w:rsidR="00C50CE0" w:rsidRDefault="0032395E">
      <w:pPr>
        <w:spacing w:line="259" w:lineRule="auto"/>
      </w:pPr>
      <w:r>
        <w:t xml:space="preserve"> </w:t>
      </w:r>
    </w:p>
    <w:p w:rsidR="00C50CE0" w:rsidRDefault="0032395E">
      <w:pPr>
        <w:pBdr>
          <w:top w:val="nil"/>
          <w:left w:val="nil"/>
          <w:bottom w:val="nil"/>
          <w:right w:val="nil"/>
          <w:between w:val="nil"/>
        </w:pBdr>
        <w:spacing w:line="259" w:lineRule="auto"/>
      </w:pPr>
      <w:r>
        <w:t>Map 1. Transmission and Distribution Resources</w:t>
      </w:r>
    </w:p>
    <w:p w:rsidR="00C50CE0" w:rsidRDefault="0032395E">
      <w:pPr>
        <w:spacing w:line="259" w:lineRule="auto"/>
      </w:pPr>
      <w:r>
        <w:t>Map 2. Wind Power Resource</w:t>
      </w:r>
    </w:p>
    <w:p w:rsidR="00C50CE0" w:rsidRDefault="0032395E">
      <w:pPr>
        <w:pBdr>
          <w:top w:val="nil"/>
          <w:left w:val="nil"/>
          <w:bottom w:val="nil"/>
          <w:right w:val="nil"/>
          <w:between w:val="nil"/>
        </w:pBdr>
        <w:spacing w:line="259" w:lineRule="auto"/>
      </w:pPr>
      <w:r>
        <w:t>Map 3. Highest Priority Forest Blocks</w:t>
      </w:r>
    </w:p>
    <w:p w:rsidR="00C50CE0" w:rsidRDefault="0032395E">
      <w:pPr>
        <w:pBdr>
          <w:top w:val="nil"/>
          <w:left w:val="nil"/>
          <w:bottom w:val="nil"/>
          <w:right w:val="nil"/>
          <w:between w:val="nil"/>
        </w:pBdr>
        <w:spacing w:line="259" w:lineRule="auto"/>
      </w:pPr>
      <w:r>
        <w:t xml:space="preserve"> </w:t>
      </w:r>
    </w:p>
    <w:p w:rsidR="00C50CE0" w:rsidRDefault="0032395E">
      <w:pPr>
        <w:pBdr>
          <w:top w:val="nil"/>
          <w:left w:val="nil"/>
          <w:bottom w:val="nil"/>
          <w:right w:val="nil"/>
          <w:between w:val="nil"/>
        </w:pBdr>
        <w:spacing w:line="259" w:lineRule="auto"/>
      </w:pPr>
      <w:r>
        <w:t>Map 4. Potential Solar Resource Siting Areas</w:t>
      </w:r>
    </w:p>
    <w:p w:rsidR="00C50CE0" w:rsidRDefault="0032395E">
      <w:pPr>
        <w:pBdr>
          <w:top w:val="nil"/>
          <w:left w:val="nil"/>
          <w:bottom w:val="nil"/>
          <w:right w:val="nil"/>
          <w:between w:val="nil"/>
        </w:pBdr>
        <w:spacing w:line="259" w:lineRule="auto"/>
      </w:pPr>
      <w:r>
        <w:t>Map 5. Potential Wind Resource Siting Areas</w:t>
      </w:r>
    </w:p>
    <w:p w:rsidR="00C50CE0" w:rsidRDefault="0032395E">
      <w:pPr>
        <w:pBdr>
          <w:top w:val="nil"/>
          <w:left w:val="nil"/>
          <w:bottom w:val="nil"/>
          <w:right w:val="nil"/>
          <w:between w:val="nil"/>
        </w:pBdr>
        <w:spacing w:line="259" w:lineRule="auto"/>
      </w:pPr>
      <w:r>
        <w:t>Map 6. Potential Biomass Resource Siting Areas</w:t>
      </w:r>
    </w:p>
    <w:p w:rsidR="00C50CE0" w:rsidRDefault="0032395E">
      <w:pPr>
        <w:pBdr>
          <w:top w:val="nil"/>
          <w:left w:val="nil"/>
          <w:bottom w:val="nil"/>
          <w:right w:val="nil"/>
          <w:between w:val="nil"/>
        </w:pBdr>
        <w:spacing w:line="259" w:lineRule="auto"/>
      </w:pPr>
      <w:r>
        <w:t xml:space="preserve"> </w:t>
      </w:r>
    </w:p>
    <w:p w:rsidR="00C50CE0" w:rsidRDefault="0032395E">
      <w:pPr>
        <w:pBdr>
          <w:top w:val="nil"/>
          <w:left w:val="nil"/>
          <w:bottom w:val="nil"/>
          <w:right w:val="nil"/>
          <w:between w:val="nil"/>
        </w:pBdr>
        <w:spacing w:line="259" w:lineRule="auto"/>
      </w:pPr>
      <w:r>
        <w:t xml:space="preserve">Map 7. State and Local Known Constraints </w:t>
      </w:r>
    </w:p>
    <w:p w:rsidR="00C50CE0" w:rsidRDefault="0032395E">
      <w:pPr>
        <w:pBdr>
          <w:top w:val="nil"/>
          <w:left w:val="nil"/>
          <w:bottom w:val="nil"/>
          <w:right w:val="nil"/>
          <w:between w:val="nil"/>
        </w:pBdr>
        <w:spacing w:line="259" w:lineRule="auto"/>
      </w:pPr>
      <w:r>
        <w:t>Map 8. State and Local Possible Constraints</w:t>
      </w:r>
    </w:p>
    <w:p w:rsidR="00C50CE0" w:rsidRDefault="0032395E">
      <w:pPr>
        <w:pBdr>
          <w:top w:val="nil"/>
          <w:left w:val="nil"/>
          <w:bottom w:val="nil"/>
          <w:right w:val="nil"/>
          <w:between w:val="nil"/>
        </w:pBdr>
        <w:spacing w:line="259" w:lineRule="auto"/>
      </w:pPr>
      <w:r>
        <w:t>Map 9. Preferred Energy Area</w:t>
      </w:r>
    </w:p>
    <w:p w:rsidR="00C50CE0" w:rsidRDefault="00C50CE0">
      <w:pPr>
        <w:pBdr>
          <w:top w:val="nil"/>
          <w:left w:val="nil"/>
          <w:bottom w:val="nil"/>
          <w:right w:val="nil"/>
          <w:between w:val="nil"/>
        </w:pBdr>
        <w:spacing w:line="259" w:lineRule="auto"/>
      </w:pPr>
    </w:p>
    <w:p w:rsidR="00C50CE0" w:rsidRDefault="00C50CE0">
      <w:pPr>
        <w:spacing w:line="259" w:lineRule="auto"/>
      </w:pPr>
    </w:p>
    <w:p w:rsidR="00C50CE0" w:rsidRDefault="00C50CE0">
      <w:pPr>
        <w:spacing w:line="259" w:lineRule="auto"/>
      </w:pPr>
    </w:p>
    <w:p w:rsidR="00C50CE0" w:rsidRDefault="0032395E">
      <w:pPr>
        <w:spacing w:line="259" w:lineRule="auto"/>
      </w:pPr>
      <w:r>
        <w:lastRenderedPageBreak/>
        <w:t>Map 1. Transmission and Distribution Resources</w:t>
      </w:r>
      <w:r>
        <w:rPr>
          <w:noProof/>
        </w:rPr>
        <w:drawing>
          <wp:inline distT="114300" distB="114300" distL="114300" distR="114300">
            <wp:extent cx="5943600" cy="7924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7924800"/>
                    </a:xfrm>
                    <a:prstGeom prst="rect">
                      <a:avLst/>
                    </a:prstGeom>
                    <a:ln/>
                  </pic:spPr>
                </pic:pic>
              </a:graphicData>
            </a:graphic>
          </wp:inline>
        </w:drawing>
      </w:r>
    </w:p>
    <w:p w:rsidR="00C50CE0" w:rsidRDefault="0032395E">
      <w:pPr>
        <w:spacing w:line="259" w:lineRule="auto"/>
      </w:pPr>
      <w:r>
        <w:br w:type="page"/>
      </w:r>
    </w:p>
    <w:p w:rsidR="00C50CE0" w:rsidRDefault="0032395E">
      <w:pPr>
        <w:spacing w:line="259" w:lineRule="auto"/>
      </w:pPr>
      <w:r>
        <w:lastRenderedPageBreak/>
        <w:t>Map 2. Wind Power Resource</w:t>
      </w:r>
    </w:p>
    <w:p w:rsidR="00C50CE0" w:rsidRDefault="0032395E">
      <w:pP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943600" cy="7874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7874000"/>
                    </a:xfrm>
                    <a:prstGeom prst="rect">
                      <a:avLst/>
                    </a:prstGeom>
                    <a:ln/>
                  </pic:spPr>
                </pic:pic>
              </a:graphicData>
            </a:graphic>
          </wp:inline>
        </w:drawing>
      </w:r>
    </w:p>
    <w:p w:rsidR="00C50CE0" w:rsidRDefault="0032395E">
      <w:pPr>
        <w:rPr>
          <w:rFonts w:ascii="Calibri" w:eastAsia="Calibri" w:hAnsi="Calibri" w:cs="Calibri"/>
          <w:sz w:val="22"/>
          <w:szCs w:val="22"/>
        </w:rPr>
      </w:pPr>
      <w:r>
        <w:lastRenderedPageBreak/>
        <w:t>Map 3. Highest priority forest blocks</w:t>
      </w:r>
      <w:r w:rsidR="000C6553" w:rsidRPr="000C6553">
        <w:t xml:space="preserve"> </w:t>
      </w:r>
      <w:r w:rsidR="000C6553" w:rsidRPr="000C6553">
        <w:rPr>
          <w:noProof/>
        </w:rPr>
        <w:drawing>
          <wp:inline distT="0" distB="0" distL="0" distR="0">
            <wp:extent cx="5943600" cy="7869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869555"/>
                    </a:xfrm>
                    <a:prstGeom prst="rect">
                      <a:avLst/>
                    </a:prstGeom>
                    <a:noFill/>
                    <a:ln>
                      <a:noFill/>
                    </a:ln>
                  </pic:spPr>
                </pic:pic>
              </a:graphicData>
            </a:graphic>
          </wp:inline>
        </w:drawing>
      </w:r>
    </w:p>
    <w:p w:rsidR="00C50CE0" w:rsidRDefault="00C50CE0"/>
    <w:p w:rsidR="00C50CE0" w:rsidRDefault="00C50CE0"/>
    <w:p w:rsidR="00C50CE0" w:rsidRDefault="00C50CE0"/>
    <w:p w:rsidR="00C50CE0" w:rsidRDefault="00C50CE0"/>
    <w:p w:rsidR="007805D9" w:rsidRDefault="007805D9"/>
    <w:p w:rsidR="00C50CE0" w:rsidRDefault="0032395E">
      <w:r>
        <w:lastRenderedPageBreak/>
        <w:t>Map 4. Potential Solar Resource Siting Areas</w:t>
      </w:r>
    </w:p>
    <w:p w:rsidR="00C50CE0" w:rsidRDefault="00C50CE0"/>
    <w:p w:rsidR="00C50CE0" w:rsidRDefault="0032395E">
      <w:pP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943600" cy="78486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7848600"/>
                    </a:xfrm>
                    <a:prstGeom prst="rect">
                      <a:avLst/>
                    </a:prstGeom>
                    <a:ln/>
                  </pic:spPr>
                </pic:pic>
              </a:graphicData>
            </a:graphic>
          </wp:inline>
        </w:drawing>
      </w:r>
    </w:p>
    <w:p w:rsidR="00C50CE0" w:rsidRDefault="00C50CE0">
      <w:pPr>
        <w:spacing w:line="259" w:lineRule="auto"/>
      </w:pPr>
    </w:p>
    <w:p w:rsidR="00C50CE0" w:rsidRDefault="00C50CE0">
      <w:pPr>
        <w:spacing w:line="259" w:lineRule="auto"/>
      </w:pPr>
    </w:p>
    <w:p w:rsidR="00C50CE0" w:rsidRDefault="00C50CE0">
      <w:pPr>
        <w:spacing w:line="259" w:lineRule="auto"/>
      </w:pPr>
    </w:p>
    <w:p w:rsidR="007805D9" w:rsidRDefault="007805D9">
      <w:pPr>
        <w:spacing w:line="259" w:lineRule="auto"/>
      </w:pPr>
    </w:p>
    <w:p w:rsidR="00C50CE0" w:rsidRDefault="0032395E">
      <w:pPr>
        <w:spacing w:line="259" w:lineRule="auto"/>
      </w:pPr>
      <w:r>
        <w:lastRenderedPageBreak/>
        <w:t>Map 5. Potential Wind Resource Siting Areas</w:t>
      </w:r>
    </w:p>
    <w:p w:rsidR="00C50CE0" w:rsidRDefault="0032395E">
      <w:pP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943600" cy="79375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7937500"/>
                    </a:xfrm>
                    <a:prstGeom prst="rect">
                      <a:avLst/>
                    </a:prstGeom>
                    <a:ln/>
                  </pic:spPr>
                </pic:pic>
              </a:graphicData>
            </a:graphic>
          </wp:inline>
        </w:drawing>
      </w:r>
    </w:p>
    <w:p w:rsidR="00C50CE0" w:rsidRDefault="00C50CE0">
      <w:pPr>
        <w:spacing w:line="259" w:lineRule="auto"/>
      </w:pPr>
    </w:p>
    <w:p w:rsidR="00C50CE0" w:rsidRDefault="00C50CE0">
      <w:pPr>
        <w:spacing w:line="259" w:lineRule="auto"/>
      </w:pPr>
    </w:p>
    <w:p w:rsidR="00C50CE0" w:rsidRDefault="0032395E">
      <w:pPr>
        <w:rPr>
          <w:rFonts w:ascii="Calibri" w:eastAsia="Calibri" w:hAnsi="Calibri" w:cs="Calibri"/>
          <w:sz w:val="22"/>
          <w:szCs w:val="22"/>
        </w:rPr>
      </w:pPr>
      <w:r>
        <w:lastRenderedPageBreak/>
        <w:t>Map 6. Potential Biomass Resource Siting Areas</w:t>
      </w:r>
      <w:r>
        <w:rPr>
          <w:rFonts w:ascii="Calibri" w:eastAsia="Calibri" w:hAnsi="Calibri" w:cs="Calibri"/>
          <w:noProof/>
          <w:sz w:val="22"/>
          <w:szCs w:val="22"/>
        </w:rPr>
        <w:drawing>
          <wp:inline distT="114300" distB="114300" distL="114300" distR="114300">
            <wp:extent cx="5943600" cy="7899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43600" cy="7899400"/>
                    </a:xfrm>
                    <a:prstGeom prst="rect">
                      <a:avLst/>
                    </a:prstGeom>
                    <a:ln/>
                  </pic:spPr>
                </pic:pic>
              </a:graphicData>
            </a:graphic>
          </wp:inline>
        </w:drawing>
      </w:r>
    </w:p>
    <w:p w:rsidR="00C50CE0" w:rsidRDefault="00C50CE0">
      <w:pPr>
        <w:rPr>
          <w:rFonts w:ascii="Calibri" w:eastAsia="Calibri" w:hAnsi="Calibri" w:cs="Calibri"/>
          <w:sz w:val="22"/>
          <w:szCs w:val="22"/>
        </w:rPr>
      </w:pPr>
    </w:p>
    <w:p w:rsidR="00C50CE0" w:rsidRDefault="00C50CE0">
      <w:pPr>
        <w:rPr>
          <w:rFonts w:ascii="Calibri" w:eastAsia="Calibri" w:hAnsi="Calibri" w:cs="Calibri"/>
          <w:sz w:val="22"/>
          <w:szCs w:val="22"/>
        </w:rPr>
      </w:pPr>
    </w:p>
    <w:p w:rsidR="00C50CE0" w:rsidRDefault="00C50CE0">
      <w:pPr>
        <w:rPr>
          <w:rFonts w:ascii="Calibri" w:eastAsia="Calibri" w:hAnsi="Calibri" w:cs="Calibri"/>
          <w:sz w:val="22"/>
          <w:szCs w:val="22"/>
        </w:rPr>
      </w:pPr>
    </w:p>
    <w:p w:rsidR="00C50CE0" w:rsidRDefault="00C50CE0">
      <w:pPr>
        <w:rPr>
          <w:rFonts w:ascii="Calibri" w:eastAsia="Calibri" w:hAnsi="Calibri" w:cs="Calibri"/>
          <w:sz w:val="22"/>
          <w:szCs w:val="22"/>
        </w:rPr>
      </w:pPr>
    </w:p>
    <w:p w:rsidR="007805D9" w:rsidRDefault="007805D9">
      <w:pPr>
        <w:spacing w:line="259" w:lineRule="auto"/>
      </w:pPr>
    </w:p>
    <w:p w:rsidR="00C50CE0" w:rsidRDefault="0032395E">
      <w:pPr>
        <w:spacing w:line="259" w:lineRule="auto"/>
      </w:pPr>
      <w:r>
        <w:lastRenderedPageBreak/>
        <w:t xml:space="preserve">Map 7. State and Local Known Constraints </w:t>
      </w:r>
    </w:p>
    <w:p w:rsidR="00C50CE0" w:rsidRDefault="0032395E">
      <w:pPr>
        <w:spacing w:line="259" w:lineRule="auto"/>
      </w:pPr>
      <w:r>
        <w:rPr>
          <w:noProof/>
        </w:rPr>
        <w:drawing>
          <wp:inline distT="114300" distB="114300" distL="114300" distR="114300">
            <wp:extent cx="5943600" cy="78613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7861300"/>
                    </a:xfrm>
                    <a:prstGeom prst="rect">
                      <a:avLst/>
                    </a:prstGeom>
                    <a:ln/>
                  </pic:spPr>
                </pic:pic>
              </a:graphicData>
            </a:graphic>
          </wp:inline>
        </w:drawing>
      </w:r>
    </w:p>
    <w:p w:rsidR="00C50CE0" w:rsidRDefault="00C50CE0">
      <w:pPr>
        <w:spacing w:line="259" w:lineRule="auto"/>
      </w:pPr>
    </w:p>
    <w:p w:rsidR="00C50CE0" w:rsidRDefault="00C50CE0">
      <w:pPr>
        <w:spacing w:line="259" w:lineRule="auto"/>
      </w:pPr>
    </w:p>
    <w:p w:rsidR="00C50CE0" w:rsidRDefault="00C50CE0">
      <w:pPr>
        <w:spacing w:line="259" w:lineRule="auto"/>
      </w:pPr>
    </w:p>
    <w:p w:rsidR="00C50CE0" w:rsidRDefault="00C50CE0">
      <w:pPr>
        <w:spacing w:line="259" w:lineRule="auto"/>
      </w:pPr>
    </w:p>
    <w:p w:rsidR="00C50CE0" w:rsidRDefault="0032395E">
      <w:pPr>
        <w:spacing w:line="259" w:lineRule="auto"/>
      </w:pPr>
      <w:r>
        <w:lastRenderedPageBreak/>
        <w:t>Map 8. State and Local Possible Constraints</w:t>
      </w:r>
    </w:p>
    <w:p w:rsidR="00C50CE0" w:rsidRDefault="0032395E">
      <w:pPr>
        <w:spacing w:line="259" w:lineRule="auto"/>
      </w:pPr>
      <w:r>
        <w:rPr>
          <w:noProof/>
        </w:rPr>
        <w:drawing>
          <wp:inline distT="114300" distB="114300" distL="114300" distR="114300">
            <wp:extent cx="5943600" cy="78867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943600" cy="7886700"/>
                    </a:xfrm>
                    <a:prstGeom prst="rect">
                      <a:avLst/>
                    </a:prstGeom>
                    <a:ln/>
                  </pic:spPr>
                </pic:pic>
              </a:graphicData>
            </a:graphic>
          </wp:inline>
        </w:drawing>
      </w:r>
    </w:p>
    <w:p w:rsidR="00C50CE0" w:rsidRDefault="00C50CE0">
      <w:pPr>
        <w:spacing w:line="259" w:lineRule="auto"/>
      </w:pPr>
    </w:p>
    <w:p w:rsidR="00C50CE0" w:rsidRDefault="00C50CE0">
      <w:pPr>
        <w:spacing w:line="259" w:lineRule="auto"/>
      </w:pPr>
    </w:p>
    <w:p w:rsidR="00C50CE0" w:rsidRDefault="00C50CE0">
      <w:pPr>
        <w:spacing w:line="259" w:lineRule="auto"/>
      </w:pPr>
    </w:p>
    <w:p w:rsidR="00C50CE0" w:rsidRDefault="00C50CE0">
      <w:pPr>
        <w:spacing w:line="259" w:lineRule="auto"/>
      </w:pPr>
    </w:p>
    <w:p w:rsidR="00C50CE0" w:rsidRDefault="0032395E">
      <w:pPr>
        <w:spacing w:line="259" w:lineRule="auto"/>
      </w:pPr>
      <w:r>
        <w:lastRenderedPageBreak/>
        <w:t>Map 9. Preferred Energy Area</w:t>
      </w:r>
    </w:p>
    <w:p w:rsidR="00C50CE0" w:rsidRDefault="000C6553">
      <w:pPr>
        <w:rPr>
          <w:rFonts w:ascii="Calibri" w:eastAsia="Calibri" w:hAnsi="Calibri" w:cs="Calibri"/>
          <w:sz w:val="22"/>
          <w:szCs w:val="22"/>
        </w:rPr>
      </w:pPr>
      <w:r w:rsidRPr="000C6553">
        <w:rPr>
          <w:rFonts w:ascii="Calibri" w:eastAsia="Calibri" w:hAnsi="Calibri" w:cs="Calibri"/>
          <w:noProof/>
          <w:sz w:val="22"/>
          <w:szCs w:val="22"/>
        </w:rPr>
        <w:drawing>
          <wp:inline distT="0" distB="0" distL="0" distR="0">
            <wp:extent cx="5943600" cy="7899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899400"/>
                    </a:xfrm>
                    <a:prstGeom prst="rect">
                      <a:avLst/>
                    </a:prstGeom>
                    <a:noFill/>
                    <a:ln>
                      <a:noFill/>
                    </a:ln>
                  </pic:spPr>
                </pic:pic>
              </a:graphicData>
            </a:graphic>
          </wp:inline>
        </w:drawing>
      </w:r>
    </w:p>
    <w:sectPr w:rsidR="00C50CE0">
      <w:footerReference w:type="default" r:id="rId20"/>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4CF" w:rsidRDefault="006B64CF">
      <w:r>
        <w:separator/>
      </w:r>
    </w:p>
  </w:endnote>
  <w:endnote w:type="continuationSeparator" w:id="0">
    <w:p w:rsidR="006B64CF" w:rsidRDefault="006B6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30F" w:rsidRDefault="0004730F">
    <w:pPr>
      <w:pBdr>
        <w:top w:val="nil"/>
        <w:left w:val="nil"/>
        <w:bottom w:val="nil"/>
        <w:right w:val="nil"/>
        <w:between w:val="nil"/>
      </w:pBdr>
      <w:tabs>
        <w:tab w:val="right" w:pos="9340"/>
      </w:tabs>
      <w:ind w:firstLine="360"/>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4CF" w:rsidRDefault="006B64CF">
      <w:r>
        <w:separator/>
      </w:r>
    </w:p>
  </w:footnote>
  <w:footnote w:type="continuationSeparator" w:id="0">
    <w:p w:rsidR="006B64CF" w:rsidRDefault="006B6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0503D"/>
    <w:multiLevelType w:val="multilevel"/>
    <w:tmpl w:val="D40C6E72"/>
    <w:lvl w:ilvl="0">
      <w:start w:val="1"/>
      <w:numFmt w:val="decimal"/>
      <w:lvlText w:val="%1."/>
      <w:lvlJc w:val="left"/>
      <w:pPr>
        <w:ind w:left="360" w:hanging="360"/>
      </w:pPr>
      <w:rPr>
        <w:rFonts w:ascii="Times New Roman" w:eastAsia="Times New Roman" w:hAnsi="Times New Roman" w:cs="Times New Roman"/>
        <w:b w:val="0"/>
        <w:sz w:val="24"/>
        <w:szCs w:val="24"/>
        <w:vertAlign w:val="baseline"/>
      </w:rPr>
    </w:lvl>
    <w:lvl w:ilvl="1">
      <w:start w:val="1"/>
      <w:numFmt w:val="lowerLetter"/>
      <w:lvlText w:val="%2."/>
      <w:lvlJc w:val="left"/>
      <w:pPr>
        <w:ind w:left="1440" w:hanging="360"/>
      </w:pPr>
      <w:rPr>
        <w:sz w:val="24"/>
        <w:szCs w:val="24"/>
        <w:vertAlign w:val="baseline"/>
      </w:rPr>
    </w:lvl>
    <w:lvl w:ilvl="2">
      <w:start w:val="1"/>
      <w:numFmt w:val="lowerRoman"/>
      <w:lvlText w:val="%3."/>
      <w:lvlJc w:val="left"/>
      <w:pPr>
        <w:ind w:left="2160" w:hanging="296"/>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left"/>
      <w:pPr>
        <w:ind w:left="4320" w:hanging="296"/>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left"/>
      <w:pPr>
        <w:ind w:left="6480" w:hanging="296"/>
      </w:pPr>
      <w:rPr>
        <w:sz w:val="24"/>
        <w:szCs w:val="24"/>
        <w:vertAlign w:val="baseline"/>
      </w:rPr>
    </w:lvl>
  </w:abstractNum>
  <w:abstractNum w:abstractNumId="1" w15:restartNumberingAfterBreak="0">
    <w:nsid w:val="077541AE"/>
    <w:multiLevelType w:val="multilevel"/>
    <w:tmpl w:val="F10CE41A"/>
    <w:lvl w:ilvl="0">
      <w:start w:val="1"/>
      <w:numFmt w:val="bullet"/>
      <w:lvlText w:val="•"/>
      <w:lvlJc w:val="left"/>
      <w:pPr>
        <w:ind w:left="360" w:hanging="360"/>
      </w:pPr>
      <w:rPr>
        <w:b/>
        <w:sz w:val="22"/>
        <w:szCs w:val="22"/>
        <w:vertAlign w:val="baseline"/>
      </w:rPr>
    </w:lvl>
    <w:lvl w:ilvl="1">
      <w:start w:val="1"/>
      <w:numFmt w:val="bullet"/>
      <w:lvlText w:val="o"/>
      <w:lvlJc w:val="left"/>
      <w:pPr>
        <w:ind w:left="1800" w:hanging="360"/>
      </w:pPr>
      <w:rPr>
        <w:b/>
        <w:sz w:val="24"/>
        <w:szCs w:val="24"/>
        <w:vertAlign w:val="baseline"/>
      </w:rPr>
    </w:lvl>
    <w:lvl w:ilvl="2">
      <w:start w:val="1"/>
      <w:numFmt w:val="bullet"/>
      <w:lvlText w:val="▪"/>
      <w:lvlJc w:val="left"/>
      <w:pPr>
        <w:ind w:left="2520" w:hanging="360"/>
      </w:pPr>
      <w:rPr>
        <w:b/>
        <w:sz w:val="24"/>
        <w:szCs w:val="24"/>
        <w:vertAlign w:val="baseline"/>
      </w:rPr>
    </w:lvl>
    <w:lvl w:ilvl="3">
      <w:start w:val="1"/>
      <w:numFmt w:val="bullet"/>
      <w:lvlText w:val="•"/>
      <w:lvlJc w:val="left"/>
      <w:pPr>
        <w:ind w:left="3240" w:hanging="360"/>
      </w:pPr>
      <w:rPr>
        <w:b/>
        <w:sz w:val="24"/>
        <w:szCs w:val="24"/>
        <w:vertAlign w:val="baseline"/>
      </w:rPr>
    </w:lvl>
    <w:lvl w:ilvl="4">
      <w:start w:val="1"/>
      <w:numFmt w:val="bullet"/>
      <w:lvlText w:val="o"/>
      <w:lvlJc w:val="left"/>
      <w:pPr>
        <w:ind w:left="3960" w:hanging="360"/>
      </w:pPr>
      <w:rPr>
        <w:b/>
        <w:sz w:val="24"/>
        <w:szCs w:val="24"/>
        <w:vertAlign w:val="baseline"/>
      </w:rPr>
    </w:lvl>
    <w:lvl w:ilvl="5">
      <w:start w:val="1"/>
      <w:numFmt w:val="bullet"/>
      <w:lvlText w:val="▪"/>
      <w:lvlJc w:val="left"/>
      <w:pPr>
        <w:ind w:left="4680" w:hanging="360"/>
      </w:pPr>
      <w:rPr>
        <w:b/>
        <w:sz w:val="24"/>
        <w:szCs w:val="24"/>
        <w:vertAlign w:val="baseline"/>
      </w:rPr>
    </w:lvl>
    <w:lvl w:ilvl="6">
      <w:start w:val="1"/>
      <w:numFmt w:val="bullet"/>
      <w:lvlText w:val="•"/>
      <w:lvlJc w:val="left"/>
      <w:pPr>
        <w:ind w:left="5400" w:hanging="360"/>
      </w:pPr>
      <w:rPr>
        <w:b/>
        <w:sz w:val="24"/>
        <w:szCs w:val="24"/>
        <w:vertAlign w:val="baseline"/>
      </w:rPr>
    </w:lvl>
    <w:lvl w:ilvl="7">
      <w:start w:val="1"/>
      <w:numFmt w:val="bullet"/>
      <w:lvlText w:val="o"/>
      <w:lvlJc w:val="left"/>
      <w:pPr>
        <w:ind w:left="6120" w:hanging="360"/>
      </w:pPr>
      <w:rPr>
        <w:b/>
        <w:sz w:val="24"/>
        <w:szCs w:val="24"/>
        <w:vertAlign w:val="baseline"/>
      </w:rPr>
    </w:lvl>
    <w:lvl w:ilvl="8">
      <w:start w:val="1"/>
      <w:numFmt w:val="bullet"/>
      <w:lvlText w:val="▪"/>
      <w:lvlJc w:val="left"/>
      <w:pPr>
        <w:ind w:left="6840" w:hanging="360"/>
      </w:pPr>
      <w:rPr>
        <w:b/>
        <w:sz w:val="24"/>
        <w:szCs w:val="24"/>
        <w:vertAlign w:val="baseline"/>
      </w:rPr>
    </w:lvl>
  </w:abstractNum>
  <w:abstractNum w:abstractNumId="2" w15:restartNumberingAfterBreak="0">
    <w:nsid w:val="0FD64AB2"/>
    <w:multiLevelType w:val="multilevel"/>
    <w:tmpl w:val="BF940358"/>
    <w:lvl w:ilvl="0">
      <w:start w:val="1"/>
      <w:numFmt w:val="bullet"/>
      <w:lvlText w:val="•"/>
      <w:lvlJc w:val="left"/>
      <w:pPr>
        <w:ind w:left="1440" w:hanging="360"/>
      </w:pPr>
      <w:rPr>
        <w:sz w:val="22"/>
        <w:szCs w:val="22"/>
        <w:vertAlign w:val="baseline"/>
      </w:rPr>
    </w:lvl>
    <w:lvl w:ilvl="1">
      <w:start w:val="1"/>
      <w:numFmt w:val="bullet"/>
      <w:lvlText w:val="o"/>
      <w:lvlJc w:val="left"/>
      <w:pPr>
        <w:ind w:left="2160" w:hanging="360"/>
      </w:pPr>
      <w:rPr>
        <w:sz w:val="24"/>
        <w:szCs w:val="24"/>
        <w:vertAlign w:val="baseline"/>
      </w:rPr>
    </w:lvl>
    <w:lvl w:ilvl="2">
      <w:start w:val="1"/>
      <w:numFmt w:val="bullet"/>
      <w:lvlText w:val="▪"/>
      <w:lvlJc w:val="left"/>
      <w:pPr>
        <w:ind w:left="2880" w:hanging="360"/>
      </w:pPr>
      <w:rPr>
        <w:sz w:val="24"/>
        <w:szCs w:val="24"/>
        <w:vertAlign w:val="baseline"/>
      </w:rPr>
    </w:lvl>
    <w:lvl w:ilvl="3">
      <w:start w:val="1"/>
      <w:numFmt w:val="bullet"/>
      <w:lvlText w:val="•"/>
      <w:lvlJc w:val="left"/>
      <w:pPr>
        <w:ind w:left="3600" w:hanging="360"/>
      </w:pPr>
      <w:rPr>
        <w:sz w:val="24"/>
        <w:szCs w:val="24"/>
        <w:vertAlign w:val="baseline"/>
      </w:rPr>
    </w:lvl>
    <w:lvl w:ilvl="4">
      <w:start w:val="1"/>
      <w:numFmt w:val="bullet"/>
      <w:lvlText w:val="o"/>
      <w:lvlJc w:val="left"/>
      <w:pPr>
        <w:ind w:left="4320" w:hanging="360"/>
      </w:pPr>
      <w:rPr>
        <w:sz w:val="24"/>
        <w:szCs w:val="24"/>
        <w:vertAlign w:val="baseline"/>
      </w:rPr>
    </w:lvl>
    <w:lvl w:ilvl="5">
      <w:start w:val="1"/>
      <w:numFmt w:val="bullet"/>
      <w:lvlText w:val="▪"/>
      <w:lvlJc w:val="left"/>
      <w:pPr>
        <w:ind w:left="5040" w:hanging="360"/>
      </w:pPr>
      <w:rPr>
        <w:sz w:val="24"/>
        <w:szCs w:val="24"/>
        <w:vertAlign w:val="baseline"/>
      </w:rPr>
    </w:lvl>
    <w:lvl w:ilvl="6">
      <w:start w:val="1"/>
      <w:numFmt w:val="bullet"/>
      <w:lvlText w:val="•"/>
      <w:lvlJc w:val="left"/>
      <w:pPr>
        <w:ind w:left="5760" w:hanging="360"/>
      </w:pPr>
      <w:rPr>
        <w:sz w:val="24"/>
        <w:szCs w:val="24"/>
        <w:vertAlign w:val="baseline"/>
      </w:rPr>
    </w:lvl>
    <w:lvl w:ilvl="7">
      <w:start w:val="1"/>
      <w:numFmt w:val="bullet"/>
      <w:lvlText w:val="o"/>
      <w:lvlJc w:val="left"/>
      <w:pPr>
        <w:ind w:left="6480" w:hanging="360"/>
      </w:pPr>
      <w:rPr>
        <w:sz w:val="24"/>
        <w:szCs w:val="24"/>
        <w:vertAlign w:val="baseline"/>
      </w:rPr>
    </w:lvl>
    <w:lvl w:ilvl="8">
      <w:start w:val="1"/>
      <w:numFmt w:val="bullet"/>
      <w:lvlText w:val="▪"/>
      <w:lvlJc w:val="left"/>
      <w:pPr>
        <w:ind w:left="7200" w:hanging="360"/>
      </w:pPr>
      <w:rPr>
        <w:sz w:val="24"/>
        <w:szCs w:val="24"/>
        <w:vertAlign w:val="baseline"/>
      </w:rPr>
    </w:lvl>
  </w:abstractNum>
  <w:abstractNum w:abstractNumId="3" w15:restartNumberingAfterBreak="0">
    <w:nsid w:val="107D38B5"/>
    <w:multiLevelType w:val="hybridMultilevel"/>
    <w:tmpl w:val="60341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7E6E40"/>
    <w:multiLevelType w:val="hybridMultilevel"/>
    <w:tmpl w:val="C1F0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83C4F"/>
    <w:multiLevelType w:val="hybridMultilevel"/>
    <w:tmpl w:val="CD24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C20E59"/>
    <w:multiLevelType w:val="multilevel"/>
    <w:tmpl w:val="47CCD396"/>
    <w:lvl w:ilvl="0">
      <w:start w:val="1"/>
      <w:numFmt w:val="bullet"/>
      <w:lvlText w:val="•"/>
      <w:lvlJc w:val="left"/>
      <w:pPr>
        <w:ind w:left="360" w:hanging="360"/>
      </w:pPr>
      <w:rPr>
        <w:b/>
        <w:sz w:val="22"/>
        <w:szCs w:val="22"/>
        <w:vertAlign w:val="baseline"/>
      </w:rPr>
    </w:lvl>
    <w:lvl w:ilvl="1">
      <w:start w:val="1"/>
      <w:numFmt w:val="bullet"/>
      <w:lvlText w:val="o"/>
      <w:lvlJc w:val="left"/>
      <w:pPr>
        <w:ind w:left="1800" w:hanging="360"/>
      </w:pPr>
      <w:rPr>
        <w:b/>
        <w:sz w:val="24"/>
        <w:szCs w:val="24"/>
        <w:vertAlign w:val="baseline"/>
      </w:rPr>
    </w:lvl>
    <w:lvl w:ilvl="2">
      <w:start w:val="1"/>
      <w:numFmt w:val="bullet"/>
      <w:lvlText w:val="▪"/>
      <w:lvlJc w:val="left"/>
      <w:pPr>
        <w:ind w:left="2520" w:hanging="360"/>
      </w:pPr>
      <w:rPr>
        <w:b/>
        <w:sz w:val="24"/>
        <w:szCs w:val="24"/>
        <w:vertAlign w:val="baseline"/>
      </w:rPr>
    </w:lvl>
    <w:lvl w:ilvl="3">
      <w:start w:val="1"/>
      <w:numFmt w:val="bullet"/>
      <w:lvlText w:val="•"/>
      <w:lvlJc w:val="left"/>
      <w:pPr>
        <w:ind w:left="3240" w:hanging="360"/>
      </w:pPr>
      <w:rPr>
        <w:b/>
        <w:sz w:val="24"/>
        <w:szCs w:val="24"/>
        <w:vertAlign w:val="baseline"/>
      </w:rPr>
    </w:lvl>
    <w:lvl w:ilvl="4">
      <w:start w:val="1"/>
      <w:numFmt w:val="bullet"/>
      <w:lvlText w:val="o"/>
      <w:lvlJc w:val="left"/>
      <w:pPr>
        <w:ind w:left="3960" w:hanging="360"/>
      </w:pPr>
      <w:rPr>
        <w:b/>
        <w:sz w:val="24"/>
        <w:szCs w:val="24"/>
        <w:vertAlign w:val="baseline"/>
      </w:rPr>
    </w:lvl>
    <w:lvl w:ilvl="5">
      <w:start w:val="1"/>
      <w:numFmt w:val="bullet"/>
      <w:lvlText w:val="▪"/>
      <w:lvlJc w:val="left"/>
      <w:pPr>
        <w:ind w:left="4680" w:hanging="360"/>
      </w:pPr>
      <w:rPr>
        <w:b/>
        <w:sz w:val="24"/>
        <w:szCs w:val="24"/>
        <w:vertAlign w:val="baseline"/>
      </w:rPr>
    </w:lvl>
    <w:lvl w:ilvl="6">
      <w:start w:val="1"/>
      <w:numFmt w:val="bullet"/>
      <w:lvlText w:val="•"/>
      <w:lvlJc w:val="left"/>
      <w:pPr>
        <w:ind w:left="5400" w:hanging="360"/>
      </w:pPr>
      <w:rPr>
        <w:b/>
        <w:sz w:val="24"/>
        <w:szCs w:val="24"/>
        <w:vertAlign w:val="baseline"/>
      </w:rPr>
    </w:lvl>
    <w:lvl w:ilvl="7">
      <w:start w:val="1"/>
      <w:numFmt w:val="bullet"/>
      <w:lvlText w:val="o"/>
      <w:lvlJc w:val="left"/>
      <w:pPr>
        <w:ind w:left="6120" w:hanging="360"/>
      </w:pPr>
      <w:rPr>
        <w:b/>
        <w:sz w:val="24"/>
        <w:szCs w:val="24"/>
        <w:vertAlign w:val="baseline"/>
      </w:rPr>
    </w:lvl>
    <w:lvl w:ilvl="8">
      <w:start w:val="1"/>
      <w:numFmt w:val="bullet"/>
      <w:lvlText w:val="▪"/>
      <w:lvlJc w:val="left"/>
      <w:pPr>
        <w:ind w:left="6840" w:hanging="360"/>
      </w:pPr>
      <w:rPr>
        <w:b/>
        <w:sz w:val="24"/>
        <w:szCs w:val="24"/>
        <w:vertAlign w:val="baseline"/>
      </w:rPr>
    </w:lvl>
  </w:abstractNum>
  <w:abstractNum w:abstractNumId="7" w15:restartNumberingAfterBreak="0">
    <w:nsid w:val="23ED6702"/>
    <w:multiLevelType w:val="multilevel"/>
    <w:tmpl w:val="1D025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0A540F"/>
    <w:multiLevelType w:val="hybridMultilevel"/>
    <w:tmpl w:val="06C293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5BD06B9"/>
    <w:multiLevelType w:val="hybridMultilevel"/>
    <w:tmpl w:val="1B168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CD40BF"/>
    <w:multiLevelType w:val="multilevel"/>
    <w:tmpl w:val="50FE75D4"/>
    <w:lvl w:ilvl="0">
      <w:start w:val="1"/>
      <w:numFmt w:val="bullet"/>
      <w:lvlText w:val="•"/>
      <w:lvlJc w:val="left"/>
      <w:pPr>
        <w:ind w:left="360" w:hanging="360"/>
      </w:pPr>
      <w:rPr>
        <w:b/>
        <w:sz w:val="22"/>
        <w:szCs w:val="22"/>
        <w:vertAlign w:val="baseline"/>
      </w:rPr>
    </w:lvl>
    <w:lvl w:ilvl="1">
      <w:start w:val="1"/>
      <w:numFmt w:val="bullet"/>
      <w:lvlText w:val="o"/>
      <w:lvlJc w:val="left"/>
      <w:pPr>
        <w:ind w:left="1800" w:hanging="360"/>
      </w:pPr>
      <w:rPr>
        <w:b/>
        <w:sz w:val="24"/>
        <w:szCs w:val="24"/>
        <w:vertAlign w:val="baseline"/>
      </w:rPr>
    </w:lvl>
    <w:lvl w:ilvl="2">
      <w:start w:val="1"/>
      <w:numFmt w:val="bullet"/>
      <w:lvlText w:val="▪"/>
      <w:lvlJc w:val="left"/>
      <w:pPr>
        <w:ind w:left="2520" w:hanging="360"/>
      </w:pPr>
      <w:rPr>
        <w:b/>
        <w:sz w:val="24"/>
        <w:szCs w:val="24"/>
        <w:vertAlign w:val="baseline"/>
      </w:rPr>
    </w:lvl>
    <w:lvl w:ilvl="3">
      <w:start w:val="1"/>
      <w:numFmt w:val="bullet"/>
      <w:lvlText w:val="•"/>
      <w:lvlJc w:val="left"/>
      <w:pPr>
        <w:ind w:left="3240" w:hanging="360"/>
      </w:pPr>
      <w:rPr>
        <w:b/>
        <w:sz w:val="24"/>
        <w:szCs w:val="24"/>
        <w:vertAlign w:val="baseline"/>
      </w:rPr>
    </w:lvl>
    <w:lvl w:ilvl="4">
      <w:start w:val="1"/>
      <w:numFmt w:val="bullet"/>
      <w:lvlText w:val="o"/>
      <w:lvlJc w:val="left"/>
      <w:pPr>
        <w:ind w:left="3960" w:hanging="360"/>
      </w:pPr>
      <w:rPr>
        <w:b/>
        <w:sz w:val="24"/>
        <w:szCs w:val="24"/>
        <w:vertAlign w:val="baseline"/>
      </w:rPr>
    </w:lvl>
    <w:lvl w:ilvl="5">
      <w:start w:val="1"/>
      <w:numFmt w:val="bullet"/>
      <w:lvlText w:val="▪"/>
      <w:lvlJc w:val="left"/>
      <w:pPr>
        <w:ind w:left="4680" w:hanging="360"/>
      </w:pPr>
      <w:rPr>
        <w:b/>
        <w:sz w:val="24"/>
        <w:szCs w:val="24"/>
        <w:vertAlign w:val="baseline"/>
      </w:rPr>
    </w:lvl>
    <w:lvl w:ilvl="6">
      <w:start w:val="1"/>
      <w:numFmt w:val="bullet"/>
      <w:lvlText w:val="•"/>
      <w:lvlJc w:val="left"/>
      <w:pPr>
        <w:ind w:left="5400" w:hanging="360"/>
      </w:pPr>
      <w:rPr>
        <w:b/>
        <w:sz w:val="24"/>
        <w:szCs w:val="24"/>
        <w:vertAlign w:val="baseline"/>
      </w:rPr>
    </w:lvl>
    <w:lvl w:ilvl="7">
      <w:start w:val="1"/>
      <w:numFmt w:val="bullet"/>
      <w:lvlText w:val="o"/>
      <w:lvlJc w:val="left"/>
      <w:pPr>
        <w:ind w:left="6120" w:hanging="360"/>
      </w:pPr>
      <w:rPr>
        <w:b/>
        <w:sz w:val="24"/>
        <w:szCs w:val="24"/>
        <w:vertAlign w:val="baseline"/>
      </w:rPr>
    </w:lvl>
    <w:lvl w:ilvl="8">
      <w:start w:val="1"/>
      <w:numFmt w:val="bullet"/>
      <w:lvlText w:val="▪"/>
      <w:lvlJc w:val="left"/>
      <w:pPr>
        <w:ind w:left="6840" w:hanging="360"/>
      </w:pPr>
      <w:rPr>
        <w:b/>
        <w:sz w:val="24"/>
        <w:szCs w:val="24"/>
        <w:vertAlign w:val="baseline"/>
      </w:rPr>
    </w:lvl>
  </w:abstractNum>
  <w:abstractNum w:abstractNumId="11" w15:restartNumberingAfterBreak="0">
    <w:nsid w:val="274C3C98"/>
    <w:multiLevelType w:val="multilevel"/>
    <w:tmpl w:val="959C1BDC"/>
    <w:lvl w:ilvl="0">
      <w:start w:val="1"/>
      <w:numFmt w:val="bullet"/>
      <w:lvlText w:val="•"/>
      <w:lvlJc w:val="left"/>
      <w:pPr>
        <w:ind w:left="360" w:hanging="360"/>
      </w:pPr>
      <w:rPr>
        <w:b/>
        <w:sz w:val="22"/>
        <w:szCs w:val="22"/>
        <w:vertAlign w:val="baseline"/>
      </w:rPr>
    </w:lvl>
    <w:lvl w:ilvl="1">
      <w:start w:val="1"/>
      <w:numFmt w:val="bullet"/>
      <w:lvlText w:val="o"/>
      <w:lvlJc w:val="left"/>
      <w:pPr>
        <w:ind w:left="1800" w:hanging="360"/>
      </w:pPr>
      <w:rPr>
        <w:b/>
        <w:sz w:val="24"/>
        <w:szCs w:val="24"/>
        <w:vertAlign w:val="baseline"/>
      </w:rPr>
    </w:lvl>
    <w:lvl w:ilvl="2">
      <w:start w:val="1"/>
      <w:numFmt w:val="bullet"/>
      <w:lvlText w:val="▪"/>
      <w:lvlJc w:val="left"/>
      <w:pPr>
        <w:ind w:left="2520" w:hanging="360"/>
      </w:pPr>
      <w:rPr>
        <w:b/>
        <w:sz w:val="24"/>
        <w:szCs w:val="24"/>
        <w:vertAlign w:val="baseline"/>
      </w:rPr>
    </w:lvl>
    <w:lvl w:ilvl="3">
      <w:start w:val="1"/>
      <w:numFmt w:val="bullet"/>
      <w:lvlText w:val="•"/>
      <w:lvlJc w:val="left"/>
      <w:pPr>
        <w:ind w:left="3240" w:hanging="360"/>
      </w:pPr>
      <w:rPr>
        <w:b/>
        <w:sz w:val="24"/>
        <w:szCs w:val="24"/>
        <w:vertAlign w:val="baseline"/>
      </w:rPr>
    </w:lvl>
    <w:lvl w:ilvl="4">
      <w:start w:val="1"/>
      <w:numFmt w:val="bullet"/>
      <w:lvlText w:val="o"/>
      <w:lvlJc w:val="left"/>
      <w:pPr>
        <w:ind w:left="3960" w:hanging="360"/>
      </w:pPr>
      <w:rPr>
        <w:b/>
        <w:sz w:val="24"/>
        <w:szCs w:val="24"/>
        <w:vertAlign w:val="baseline"/>
      </w:rPr>
    </w:lvl>
    <w:lvl w:ilvl="5">
      <w:start w:val="1"/>
      <w:numFmt w:val="bullet"/>
      <w:lvlText w:val="▪"/>
      <w:lvlJc w:val="left"/>
      <w:pPr>
        <w:ind w:left="4680" w:hanging="360"/>
      </w:pPr>
      <w:rPr>
        <w:b/>
        <w:sz w:val="24"/>
        <w:szCs w:val="24"/>
        <w:vertAlign w:val="baseline"/>
      </w:rPr>
    </w:lvl>
    <w:lvl w:ilvl="6">
      <w:start w:val="1"/>
      <w:numFmt w:val="bullet"/>
      <w:lvlText w:val="•"/>
      <w:lvlJc w:val="left"/>
      <w:pPr>
        <w:ind w:left="5400" w:hanging="360"/>
      </w:pPr>
      <w:rPr>
        <w:b/>
        <w:sz w:val="24"/>
        <w:szCs w:val="24"/>
        <w:vertAlign w:val="baseline"/>
      </w:rPr>
    </w:lvl>
    <w:lvl w:ilvl="7">
      <w:start w:val="1"/>
      <w:numFmt w:val="bullet"/>
      <w:lvlText w:val="o"/>
      <w:lvlJc w:val="left"/>
      <w:pPr>
        <w:ind w:left="6120" w:hanging="360"/>
      </w:pPr>
      <w:rPr>
        <w:b/>
        <w:sz w:val="24"/>
        <w:szCs w:val="24"/>
        <w:vertAlign w:val="baseline"/>
      </w:rPr>
    </w:lvl>
    <w:lvl w:ilvl="8">
      <w:start w:val="1"/>
      <w:numFmt w:val="bullet"/>
      <w:lvlText w:val="▪"/>
      <w:lvlJc w:val="left"/>
      <w:pPr>
        <w:ind w:left="6840" w:hanging="360"/>
      </w:pPr>
      <w:rPr>
        <w:b/>
        <w:sz w:val="24"/>
        <w:szCs w:val="24"/>
        <w:vertAlign w:val="baseline"/>
      </w:rPr>
    </w:lvl>
  </w:abstractNum>
  <w:abstractNum w:abstractNumId="12" w15:restartNumberingAfterBreak="0">
    <w:nsid w:val="29EF774F"/>
    <w:multiLevelType w:val="multilevel"/>
    <w:tmpl w:val="CD96AABC"/>
    <w:lvl w:ilvl="0">
      <w:start w:val="1"/>
      <w:numFmt w:val="bullet"/>
      <w:lvlText w:val="•"/>
      <w:lvlJc w:val="left"/>
      <w:pPr>
        <w:ind w:left="720" w:hanging="360"/>
      </w:pPr>
      <w:rPr>
        <w:sz w:val="22"/>
        <w:szCs w:val="22"/>
        <w:vertAlign w:val="baseline"/>
      </w:rPr>
    </w:lvl>
    <w:lvl w:ilvl="1">
      <w:start w:val="1"/>
      <w:numFmt w:val="bullet"/>
      <w:lvlText w:val="o"/>
      <w:lvlJc w:val="left"/>
      <w:pPr>
        <w:ind w:left="1440" w:hanging="360"/>
      </w:pPr>
      <w:rPr>
        <w:sz w:val="24"/>
        <w:szCs w:val="24"/>
        <w:vertAlign w:val="baseline"/>
      </w:rPr>
    </w:lvl>
    <w:lvl w:ilvl="2">
      <w:start w:val="1"/>
      <w:numFmt w:val="bullet"/>
      <w:lvlText w:val="▪"/>
      <w:lvlJc w:val="left"/>
      <w:pPr>
        <w:ind w:left="2160" w:hanging="360"/>
      </w:pPr>
      <w:rPr>
        <w:sz w:val="24"/>
        <w:szCs w:val="24"/>
        <w:vertAlign w:val="baseline"/>
      </w:rPr>
    </w:lvl>
    <w:lvl w:ilvl="3">
      <w:start w:val="1"/>
      <w:numFmt w:val="bullet"/>
      <w:lvlText w:val="•"/>
      <w:lvlJc w:val="left"/>
      <w:pPr>
        <w:ind w:left="2880" w:hanging="360"/>
      </w:pPr>
      <w:rPr>
        <w:sz w:val="24"/>
        <w:szCs w:val="24"/>
        <w:vertAlign w:val="baseline"/>
      </w:rPr>
    </w:lvl>
    <w:lvl w:ilvl="4">
      <w:start w:val="1"/>
      <w:numFmt w:val="bullet"/>
      <w:lvlText w:val="o"/>
      <w:lvlJc w:val="left"/>
      <w:pPr>
        <w:ind w:left="3600" w:hanging="360"/>
      </w:pPr>
      <w:rPr>
        <w:sz w:val="24"/>
        <w:szCs w:val="24"/>
        <w:vertAlign w:val="baseline"/>
      </w:rPr>
    </w:lvl>
    <w:lvl w:ilvl="5">
      <w:start w:val="1"/>
      <w:numFmt w:val="bullet"/>
      <w:lvlText w:val="▪"/>
      <w:lvlJc w:val="left"/>
      <w:pPr>
        <w:ind w:left="4320" w:hanging="360"/>
      </w:pPr>
      <w:rPr>
        <w:sz w:val="24"/>
        <w:szCs w:val="24"/>
        <w:vertAlign w:val="baseline"/>
      </w:rPr>
    </w:lvl>
    <w:lvl w:ilvl="6">
      <w:start w:val="1"/>
      <w:numFmt w:val="bullet"/>
      <w:lvlText w:val="•"/>
      <w:lvlJc w:val="left"/>
      <w:pPr>
        <w:ind w:left="5040" w:hanging="360"/>
      </w:pPr>
      <w:rPr>
        <w:sz w:val="24"/>
        <w:szCs w:val="24"/>
        <w:vertAlign w:val="baseline"/>
      </w:rPr>
    </w:lvl>
    <w:lvl w:ilvl="7">
      <w:start w:val="1"/>
      <w:numFmt w:val="bullet"/>
      <w:lvlText w:val="o"/>
      <w:lvlJc w:val="left"/>
      <w:pPr>
        <w:ind w:left="5760" w:hanging="360"/>
      </w:pPr>
      <w:rPr>
        <w:sz w:val="24"/>
        <w:szCs w:val="24"/>
        <w:vertAlign w:val="baseline"/>
      </w:rPr>
    </w:lvl>
    <w:lvl w:ilvl="8">
      <w:start w:val="1"/>
      <w:numFmt w:val="bullet"/>
      <w:lvlText w:val="▪"/>
      <w:lvlJc w:val="left"/>
      <w:pPr>
        <w:ind w:left="6480" w:hanging="360"/>
      </w:pPr>
      <w:rPr>
        <w:sz w:val="24"/>
        <w:szCs w:val="24"/>
        <w:vertAlign w:val="baseline"/>
      </w:rPr>
    </w:lvl>
  </w:abstractNum>
  <w:abstractNum w:abstractNumId="13" w15:restartNumberingAfterBreak="0">
    <w:nsid w:val="2C9B6BF8"/>
    <w:multiLevelType w:val="multilevel"/>
    <w:tmpl w:val="C3D6A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3B3129"/>
    <w:multiLevelType w:val="multilevel"/>
    <w:tmpl w:val="4F644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790105"/>
    <w:multiLevelType w:val="hybridMultilevel"/>
    <w:tmpl w:val="95E02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9711C2"/>
    <w:multiLevelType w:val="multilevel"/>
    <w:tmpl w:val="E75A0E9C"/>
    <w:lvl w:ilvl="0">
      <w:start w:val="1"/>
      <w:numFmt w:val="decimal"/>
      <w:lvlText w:val="%1."/>
      <w:lvlJc w:val="left"/>
      <w:pPr>
        <w:ind w:left="720" w:hanging="360"/>
      </w:pPr>
      <w:rPr>
        <w:rFonts w:ascii="Times New Roman" w:eastAsia="Times New Roman" w:hAnsi="Times New Roman" w:cs="Times New Roman"/>
        <w:b/>
        <w:sz w:val="24"/>
        <w:szCs w:val="24"/>
        <w:vertAlign w:val="baseline"/>
      </w:rPr>
    </w:lvl>
    <w:lvl w:ilvl="1">
      <w:start w:val="1"/>
      <w:numFmt w:val="lowerLetter"/>
      <w:lvlText w:val="%2."/>
      <w:lvlJc w:val="left"/>
      <w:pPr>
        <w:ind w:left="1440" w:hanging="360"/>
      </w:pPr>
      <w:rPr>
        <w:b/>
        <w:sz w:val="24"/>
        <w:szCs w:val="24"/>
        <w:vertAlign w:val="baseline"/>
      </w:rPr>
    </w:lvl>
    <w:lvl w:ilvl="2">
      <w:start w:val="1"/>
      <w:numFmt w:val="lowerRoman"/>
      <w:lvlText w:val="%3."/>
      <w:lvlJc w:val="left"/>
      <w:pPr>
        <w:ind w:left="2160" w:hanging="296"/>
      </w:pPr>
      <w:rPr>
        <w:b/>
        <w:sz w:val="24"/>
        <w:szCs w:val="24"/>
        <w:vertAlign w:val="baseline"/>
      </w:rPr>
    </w:lvl>
    <w:lvl w:ilvl="3">
      <w:start w:val="1"/>
      <w:numFmt w:val="decimal"/>
      <w:lvlText w:val="%4."/>
      <w:lvlJc w:val="left"/>
      <w:pPr>
        <w:ind w:left="2880" w:hanging="360"/>
      </w:pPr>
      <w:rPr>
        <w:b/>
        <w:sz w:val="24"/>
        <w:szCs w:val="24"/>
        <w:vertAlign w:val="baseline"/>
      </w:rPr>
    </w:lvl>
    <w:lvl w:ilvl="4">
      <w:start w:val="1"/>
      <w:numFmt w:val="lowerLetter"/>
      <w:lvlText w:val="%5."/>
      <w:lvlJc w:val="left"/>
      <w:pPr>
        <w:ind w:left="3600" w:hanging="360"/>
      </w:pPr>
      <w:rPr>
        <w:b/>
        <w:sz w:val="24"/>
        <w:szCs w:val="24"/>
        <w:vertAlign w:val="baseline"/>
      </w:rPr>
    </w:lvl>
    <w:lvl w:ilvl="5">
      <w:start w:val="1"/>
      <w:numFmt w:val="lowerRoman"/>
      <w:lvlText w:val="%6."/>
      <w:lvlJc w:val="left"/>
      <w:pPr>
        <w:ind w:left="4320" w:hanging="296"/>
      </w:pPr>
      <w:rPr>
        <w:b/>
        <w:sz w:val="24"/>
        <w:szCs w:val="24"/>
        <w:vertAlign w:val="baseline"/>
      </w:rPr>
    </w:lvl>
    <w:lvl w:ilvl="6">
      <w:start w:val="1"/>
      <w:numFmt w:val="decimal"/>
      <w:lvlText w:val="%7."/>
      <w:lvlJc w:val="left"/>
      <w:pPr>
        <w:ind w:left="5040" w:hanging="360"/>
      </w:pPr>
      <w:rPr>
        <w:b/>
        <w:sz w:val="24"/>
        <w:szCs w:val="24"/>
        <w:vertAlign w:val="baseline"/>
      </w:rPr>
    </w:lvl>
    <w:lvl w:ilvl="7">
      <w:start w:val="1"/>
      <w:numFmt w:val="lowerLetter"/>
      <w:lvlText w:val="%8."/>
      <w:lvlJc w:val="left"/>
      <w:pPr>
        <w:ind w:left="5760" w:hanging="360"/>
      </w:pPr>
      <w:rPr>
        <w:b/>
        <w:sz w:val="24"/>
        <w:szCs w:val="24"/>
        <w:vertAlign w:val="baseline"/>
      </w:rPr>
    </w:lvl>
    <w:lvl w:ilvl="8">
      <w:start w:val="1"/>
      <w:numFmt w:val="lowerRoman"/>
      <w:lvlText w:val="%9."/>
      <w:lvlJc w:val="left"/>
      <w:pPr>
        <w:ind w:left="6480" w:hanging="296"/>
      </w:pPr>
      <w:rPr>
        <w:b/>
        <w:sz w:val="24"/>
        <w:szCs w:val="24"/>
        <w:vertAlign w:val="baseline"/>
      </w:rPr>
    </w:lvl>
  </w:abstractNum>
  <w:abstractNum w:abstractNumId="17" w15:restartNumberingAfterBreak="0">
    <w:nsid w:val="45371F10"/>
    <w:multiLevelType w:val="multilevel"/>
    <w:tmpl w:val="A6684BC2"/>
    <w:lvl w:ilvl="0">
      <w:start w:val="1"/>
      <w:numFmt w:val="bullet"/>
      <w:lvlText w:val="•"/>
      <w:lvlJc w:val="left"/>
      <w:pPr>
        <w:ind w:left="1440" w:hanging="360"/>
      </w:pPr>
      <w:rPr>
        <w:sz w:val="22"/>
        <w:szCs w:val="22"/>
        <w:vertAlign w:val="baseline"/>
      </w:rPr>
    </w:lvl>
    <w:lvl w:ilvl="1">
      <w:start w:val="1"/>
      <w:numFmt w:val="bullet"/>
      <w:lvlText w:val="o"/>
      <w:lvlJc w:val="left"/>
      <w:pPr>
        <w:ind w:left="2160" w:hanging="360"/>
      </w:pPr>
      <w:rPr>
        <w:sz w:val="24"/>
        <w:szCs w:val="24"/>
        <w:vertAlign w:val="baseline"/>
      </w:rPr>
    </w:lvl>
    <w:lvl w:ilvl="2">
      <w:start w:val="1"/>
      <w:numFmt w:val="bullet"/>
      <w:lvlText w:val="▪"/>
      <w:lvlJc w:val="left"/>
      <w:pPr>
        <w:ind w:left="2880" w:hanging="360"/>
      </w:pPr>
      <w:rPr>
        <w:sz w:val="24"/>
        <w:szCs w:val="24"/>
        <w:vertAlign w:val="baseline"/>
      </w:rPr>
    </w:lvl>
    <w:lvl w:ilvl="3">
      <w:start w:val="1"/>
      <w:numFmt w:val="bullet"/>
      <w:lvlText w:val="•"/>
      <w:lvlJc w:val="left"/>
      <w:pPr>
        <w:ind w:left="3600" w:hanging="360"/>
      </w:pPr>
      <w:rPr>
        <w:sz w:val="24"/>
        <w:szCs w:val="24"/>
        <w:vertAlign w:val="baseline"/>
      </w:rPr>
    </w:lvl>
    <w:lvl w:ilvl="4">
      <w:start w:val="1"/>
      <w:numFmt w:val="bullet"/>
      <w:lvlText w:val="o"/>
      <w:lvlJc w:val="left"/>
      <w:pPr>
        <w:ind w:left="4320" w:hanging="360"/>
      </w:pPr>
      <w:rPr>
        <w:sz w:val="24"/>
        <w:szCs w:val="24"/>
        <w:vertAlign w:val="baseline"/>
      </w:rPr>
    </w:lvl>
    <w:lvl w:ilvl="5">
      <w:start w:val="1"/>
      <w:numFmt w:val="bullet"/>
      <w:lvlText w:val="▪"/>
      <w:lvlJc w:val="left"/>
      <w:pPr>
        <w:ind w:left="5040" w:hanging="360"/>
      </w:pPr>
      <w:rPr>
        <w:sz w:val="24"/>
        <w:szCs w:val="24"/>
        <w:vertAlign w:val="baseline"/>
      </w:rPr>
    </w:lvl>
    <w:lvl w:ilvl="6">
      <w:start w:val="1"/>
      <w:numFmt w:val="bullet"/>
      <w:lvlText w:val="•"/>
      <w:lvlJc w:val="left"/>
      <w:pPr>
        <w:ind w:left="5760" w:hanging="360"/>
      </w:pPr>
      <w:rPr>
        <w:sz w:val="24"/>
        <w:szCs w:val="24"/>
        <w:vertAlign w:val="baseline"/>
      </w:rPr>
    </w:lvl>
    <w:lvl w:ilvl="7">
      <w:start w:val="1"/>
      <w:numFmt w:val="bullet"/>
      <w:lvlText w:val="o"/>
      <w:lvlJc w:val="left"/>
      <w:pPr>
        <w:ind w:left="6480" w:hanging="360"/>
      </w:pPr>
      <w:rPr>
        <w:sz w:val="24"/>
        <w:szCs w:val="24"/>
        <w:vertAlign w:val="baseline"/>
      </w:rPr>
    </w:lvl>
    <w:lvl w:ilvl="8">
      <w:start w:val="1"/>
      <w:numFmt w:val="bullet"/>
      <w:lvlText w:val="▪"/>
      <w:lvlJc w:val="left"/>
      <w:pPr>
        <w:ind w:left="7200" w:hanging="360"/>
      </w:pPr>
      <w:rPr>
        <w:sz w:val="24"/>
        <w:szCs w:val="24"/>
        <w:vertAlign w:val="baseline"/>
      </w:rPr>
    </w:lvl>
  </w:abstractNum>
  <w:abstractNum w:abstractNumId="18" w15:restartNumberingAfterBreak="0">
    <w:nsid w:val="45F05726"/>
    <w:multiLevelType w:val="hybridMultilevel"/>
    <w:tmpl w:val="1CCCF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7940C0"/>
    <w:multiLevelType w:val="multilevel"/>
    <w:tmpl w:val="95BCE8DC"/>
    <w:lvl w:ilvl="0">
      <w:start w:val="1"/>
      <w:numFmt w:val="bullet"/>
      <w:lvlText w:val="•"/>
      <w:lvlJc w:val="left"/>
      <w:pPr>
        <w:ind w:left="1440" w:hanging="360"/>
      </w:pPr>
      <w:rPr>
        <w:sz w:val="22"/>
        <w:szCs w:val="22"/>
        <w:vertAlign w:val="baseline"/>
      </w:rPr>
    </w:lvl>
    <w:lvl w:ilvl="1">
      <w:start w:val="1"/>
      <w:numFmt w:val="bullet"/>
      <w:lvlText w:val="o"/>
      <w:lvlJc w:val="left"/>
      <w:pPr>
        <w:ind w:left="2160" w:hanging="360"/>
      </w:pPr>
      <w:rPr>
        <w:sz w:val="24"/>
        <w:szCs w:val="24"/>
        <w:vertAlign w:val="baseline"/>
      </w:rPr>
    </w:lvl>
    <w:lvl w:ilvl="2">
      <w:start w:val="1"/>
      <w:numFmt w:val="bullet"/>
      <w:lvlText w:val="▪"/>
      <w:lvlJc w:val="left"/>
      <w:pPr>
        <w:ind w:left="2880" w:hanging="360"/>
      </w:pPr>
      <w:rPr>
        <w:sz w:val="24"/>
        <w:szCs w:val="24"/>
        <w:vertAlign w:val="baseline"/>
      </w:rPr>
    </w:lvl>
    <w:lvl w:ilvl="3">
      <w:start w:val="1"/>
      <w:numFmt w:val="bullet"/>
      <w:lvlText w:val="•"/>
      <w:lvlJc w:val="left"/>
      <w:pPr>
        <w:ind w:left="3600" w:hanging="360"/>
      </w:pPr>
      <w:rPr>
        <w:sz w:val="24"/>
        <w:szCs w:val="24"/>
        <w:vertAlign w:val="baseline"/>
      </w:rPr>
    </w:lvl>
    <w:lvl w:ilvl="4">
      <w:start w:val="1"/>
      <w:numFmt w:val="bullet"/>
      <w:lvlText w:val="o"/>
      <w:lvlJc w:val="left"/>
      <w:pPr>
        <w:ind w:left="4320" w:hanging="360"/>
      </w:pPr>
      <w:rPr>
        <w:sz w:val="24"/>
        <w:szCs w:val="24"/>
        <w:vertAlign w:val="baseline"/>
      </w:rPr>
    </w:lvl>
    <w:lvl w:ilvl="5">
      <w:start w:val="1"/>
      <w:numFmt w:val="bullet"/>
      <w:lvlText w:val="▪"/>
      <w:lvlJc w:val="left"/>
      <w:pPr>
        <w:ind w:left="5040" w:hanging="360"/>
      </w:pPr>
      <w:rPr>
        <w:sz w:val="24"/>
        <w:szCs w:val="24"/>
        <w:vertAlign w:val="baseline"/>
      </w:rPr>
    </w:lvl>
    <w:lvl w:ilvl="6">
      <w:start w:val="1"/>
      <w:numFmt w:val="bullet"/>
      <w:lvlText w:val="•"/>
      <w:lvlJc w:val="left"/>
      <w:pPr>
        <w:ind w:left="5760" w:hanging="360"/>
      </w:pPr>
      <w:rPr>
        <w:sz w:val="24"/>
        <w:szCs w:val="24"/>
        <w:vertAlign w:val="baseline"/>
      </w:rPr>
    </w:lvl>
    <w:lvl w:ilvl="7">
      <w:start w:val="1"/>
      <w:numFmt w:val="bullet"/>
      <w:lvlText w:val="o"/>
      <w:lvlJc w:val="left"/>
      <w:pPr>
        <w:ind w:left="6480" w:hanging="360"/>
      </w:pPr>
      <w:rPr>
        <w:sz w:val="24"/>
        <w:szCs w:val="24"/>
        <w:vertAlign w:val="baseline"/>
      </w:rPr>
    </w:lvl>
    <w:lvl w:ilvl="8">
      <w:start w:val="1"/>
      <w:numFmt w:val="bullet"/>
      <w:lvlText w:val="▪"/>
      <w:lvlJc w:val="left"/>
      <w:pPr>
        <w:ind w:left="7200" w:hanging="360"/>
      </w:pPr>
      <w:rPr>
        <w:sz w:val="24"/>
        <w:szCs w:val="24"/>
        <w:vertAlign w:val="baseline"/>
      </w:rPr>
    </w:lvl>
  </w:abstractNum>
  <w:abstractNum w:abstractNumId="20" w15:restartNumberingAfterBreak="0">
    <w:nsid w:val="4C1C0358"/>
    <w:multiLevelType w:val="hybridMultilevel"/>
    <w:tmpl w:val="10AA8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286661"/>
    <w:multiLevelType w:val="hybridMultilevel"/>
    <w:tmpl w:val="B2804F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920C5C"/>
    <w:multiLevelType w:val="multilevel"/>
    <w:tmpl w:val="C1404256"/>
    <w:lvl w:ilvl="0">
      <w:start w:val="1"/>
      <w:numFmt w:val="bullet"/>
      <w:lvlText w:val="•"/>
      <w:lvlJc w:val="left"/>
      <w:pPr>
        <w:ind w:left="720" w:hanging="360"/>
      </w:pPr>
      <w:rPr>
        <w:sz w:val="22"/>
        <w:szCs w:val="22"/>
        <w:vertAlign w:val="baseline"/>
      </w:rPr>
    </w:lvl>
    <w:lvl w:ilvl="1">
      <w:start w:val="1"/>
      <w:numFmt w:val="bullet"/>
      <w:lvlText w:val="o"/>
      <w:lvlJc w:val="left"/>
      <w:pPr>
        <w:ind w:left="1440" w:hanging="360"/>
      </w:pPr>
      <w:rPr>
        <w:sz w:val="24"/>
        <w:szCs w:val="24"/>
        <w:vertAlign w:val="baseline"/>
      </w:rPr>
    </w:lvl>
    <w:lvl w:ilvl="2">
      <w:start w:val="1"/>
      <w:numFmt w:val="bullet"/>
      <w:lvlText w:val="▪"/>
      <w:lvlJc w:val="left"/>
      <w:pPr>
        <w:ind w:left="2160" w:hanging="360"/>
      </w:pPr>
      <w:rPr>
        <w:sz w:val="24"/>
        <w:szCs w:val="24"/>
        <w:vertAlign w:val="baseline"/>
      </w:rPr>
    </w:lvl>
    <w:lvl w:ilvl="3">
      <w:start w:val="1"/>
      <w:numFmt w:val="bullet"/>
      <w:lvlText w:val="•"/>
      <w:lvlJc w:val="left"/>
      <w:pPr>
        <w:ind w:left="2880" w:hanging="360"/>
      </w:pPr>
      <w:rPr>
        <w:sz w:val="24"/>
        <w:szCs w:val="24"/>
        <w:vertAlign w:val="baseline"/>
      </w:rPr>
    </w:lvl>
    <w:lvl w:ilvl="4">
      <w:start w:val="1"/>
      <w:numFmt w:val="bullet"/>
      <w:lvlText w:val="o"/>
      <w:lvlJc w:val="left"/>
      <w:pPr>
        <w:ind w:left="3600" w:hanging="360"/>
      </w:pPr>
      <w:rPr>
        <w:sz w:val="24"/>
        <w:szCs w:val="24"/>
        <w:vertAlign w:val="baseline"/>
      </w:rPr>
    </w:lvl>
    <w:lvl w:ilvl="5">
      <w:start w:val="1"/>
      <w:numFmt w:val="bullet"/>
      <w:lvlText w:val="▪"/>
      <w:lvlJc w:val="left"/>
      <w:pPr>
        <w:ind w:left="4320" w:hanging="360"/>
      </w:pPr>
      <w:rPr>
        <w:sz w:val="24"/>
        <w:szCs w:val="24"/>
        <w:vertAlign w:val="baseline"/>
      </w:rPr>
    </w:lvl>
    <w:lvl w:ilvl="6">
      <w:start w:val="1"/>
      <w:numFmt w:val="bullet"/>
      <w:lvlText w:val="•"/>
      <w:lvlJc w:val="left"/>
      <w:pPr>
        <w:ind w:left="5040" w:hanging="360"/>
      </w:pPr>
      <w:rPr>
        <w:sz w:val="24"/>
        <w:szCs w:val="24"/>
        <w:vertAlign w:val="baseline"/>
      </w:rPr>
    </w:lvl>
    <w:lvl w:ilvl="7">
      <w:start w:val="1"/>
      <w:numFmt w:val="bullet"/>
      <w:lvlText w:val="o"/>
      <w:lvlJc w:val="left"/>
      <w:pPr>
        <w:ind w:left="5760" w:hanging="360"/>
      </w:pPr>
      <w:rPr>
        <w:sz w:val="24"/>
        <w:szCs w:val="24"/>
        <w:vertAlign w:val="baseline"/>
      </w:rPr>
    </w:lvl>
    <w:lvl w:ilvl="8">
      <w:start w:val="1"/>
      <w:numFmt w:val="bullet"/>
      <w:lvlText w:val="▪"/>
      <w:lvlJc w:val="left"/>
      <w:pPr>
        <w:ind w:left="6480" w:hanging="360"/>
      </w:pPr>
      <w:rPr>
        <w:sz w:val="24"/>
        <w:szCs w:val="24"/>
        <w:vertAlign w:val="baseline"/>
      </w:rPr>
    </w:lvl>
  </w:abstractNum>
  <w:abstractNum w:abstractNumId="23" w15:restartNumberingAfterBreak="0">
    <w:nsid w:val="573E3E45"/>
    <w:multiLevelType w:val="multilevel"/>
    <w:tmpl w:val="46F467EA"/>
    <w:lvl w:ilvl="0">
      <w:start w:val="1"/>
      <w:numFmt w:val="bullet"/>
      <w:lvlText w:val="•"/>
      <w:lvlJc w:val="left"/>
      <w:pPr>
        <w:ind w:left="1440" w:hanging="360"/>
      </w:pPr>
      <w:rPr>
        <w:sz w:val="22"/>
        <w:szCs w:val="22"/>
        <w:vertAlign w:val="baseline"/>
      </w:rPr>
    </w:lvl>
    <w:lvl w:ilvl="1">
      <w:start w:val="1"/>
      <w:numFmt w:val="bullet"/>
      <w:lvlText w:val="o"/>
      <w:lvlJc w:val="left"/>
      <w:pPr>
        <w:ind w:left="2160" w:hanging="360"/>
      </w:pPr>
      <w:rPr>
        <w:sz w:val="24"/>
        <w:szCs w:val="24"/>
        <w:vertAlign w:val="baseline"/>
      </w:rPr>
    </w:lvl>
    <w:lvl w:ilvl="2">
      <w:start w:val="1"/>
      <w:numFmt w:val="bullet"/>
      <w:lvlText w:val="▪"/>
      <w:lvlJc w:val="left"/>
      <w:pPr>
        <w:ind w:left="2880" w:hanging="360"/>
      </w:pPr>
      <w:rPr>
        <w:sz w:val="24"/>
        <w:szCs w:val="24"/>
        <w:vertAlign w:val="baseline"/>
      </w:rPr>
    </w:lvl>
    <w:lvl w:ilvl="3">
      <w:start w:val="1"/>
      <w:numFmt w:val="bullet"/>
      <w:lvlText w:val="•"/>
      <w:lvlJc w:val="left"/>
      <w:pPr>
        <w:ind w:left="3600" w:hanging="360"/>
      </w:pPr>
      <w:rPr>
        <w:sz w:val="24"/>
        <w:szCs w:val="24"/>
        <w:vertAlign w:val="baseline"/>
      </w:rPr>
    </w:lvl>
    <w:lvl w:ilvl="4">
      <w:start w:val="1"/>
      <w:numFmt w:val="bullet"/>
      <w:lvlText w:val="o"/>
      <w:lvlJc w:val="left"/>
      <w:pPr>
        <w:ind w:left="4320" w:hanging="360"/>
      </w:pPr>
      <w:rPr>
        <w:sz w:val="24"/>
        <w:szCs w:val="24"/>
        <w:vertAlign w:val="baseline"/>
      </w:rPr>
    </w:lvl>
    <w:lvl w:ilvl="5">
      <w:start w:val="1"/>
      <w:numFmt w:val="bullet"/>
      <w:lvlText w:val="▪"/>
      <w:lvlJc w:val="left"/>
      <w:pPr>
        <w:ind w:left="5040" w:hanging="360"/>
      </w:pPr>
      <w:rPr>
        <w:sz w:val="24"/>
        <w:szCs w:val="24"/>
        <w:vertAlign w:val="baseline"/>
      </w:rPr>
    </w:lvl>
    <w:lvl w:ilvl="6">
      <w:start w:val="1"/>
      <w:numFmt w:val="bullet"/>
      <w:lvlText w:val="•"/>
      <w:lvlJc w:val="left"/>
      <w:pPr>
        <w:ind w:left="5760" w:hanging="360"/>
      </w:pPr>
      <w:rPr>
        <w:sz w:val="24"/>
        <w:szCs w:val="24"/>
        <w:vertAlign w:val="baseline"/>
      </w:rPr>
    </w:lvl>
    <w:lvl w:ilvl="7">
      <w:start w:val="1"/>
      <w:numFmt w:val="bullet"/>
      <w:lvlText w:val="o"/>
      <w:lvlJc w:val="left"/>
      <w:pPr>
        <w:ind w:left="6480" w:hanging="360"/>
      </w:pPr>
      <w:rPr>
        <w:sz w:val="24"/>
        <w:szCs w:val="24"/>
        <w:vertAlign w:val="baseline"/>
      </w:rPr>
    </w:lvl>
    <w:lvl w:ilvl="8">
      <w:start w:val="1"/>
      <w:numFmt w:val="bullet"/>
      <w:lvlText w:val="▪"/>
      <w:lvlJc w:val="left"/>
      <w:pPr>
        <w:ind w:left="7200" w:hanging="360"/>
      </w:pPr>
      <w:rPr>
        <w:sz w:val="24"/>
        <w:szCs w:val="24"/>
        <w:vertAlign w:val="baseline"/>
      </w:rPr>
    </w:lvl>
  </w:abstractNum>
  <w:abstractNum w:abstractNumId="24" w15:restartNumberingAfterBreak="0">
    <w:nsid w:val="58D35F77"/>
    <w:multiLevelType w:val="hybridMultilevel"/>
    <w:tmpl w:val="5E2AD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1E3181"/>
    <w:multiLevelType w:val="multilevel"/>
    <w:tmpl w:val="E1EA69DC"/>
    <w:lvl w:ilvl="0">
      <w:start w:val="1"/>
      <w:numFmt w:val="bullet"/>
      <w:lvlText w:val="•"/>
      <w:lvlJc w:val="left"/>
      <w:pPr>
        <w:ind w:left="720" w:hanging="360"/>
      </w:pPr>
      <w:rPr>
        <w:sz w:val="22"/>
        <w:szCs w:val="22"/>
        <w:vertAlign w:val="baseline"/>
      </w:rPr>
    </w:lvl>
    <w:lvl w:ilvl="1">
      <w:start w:val="1"/>
      <w:numFmt w:val="bullet"/>
      <w:lvlText w:val="o"/>
      <w:lvlJc w:val="left"/>
      <w:pPr>
        <w:ind w:left="1440" w:hanging="360"/>
      </w:pPr>
      <w:rPr>
        <w:sz w:val="24"/>
        <w:szCs w:val="24"/>
        <w:vertAlign w:val="baseline"/>
      </w:rPr>
    </w:lvl>
    <w:lvl w:ilvl="2">
      <w:start w:val="1"/>
      <w:numFmt w:val="bullet"/>
      <w:lvlText w:val="▪"/>
      <w:lvlJc w:val="left"/>
      <w:pPr>
        <w:ind w:left="2160" w:hanging="360"/>
      </w:pPr>
      <w:rPr>
        <w:sz w:val="24"/>
        <w:szCs w:val="24"/>
        <w:vertAlign w:val="baseline"/>
      </w:rPr>
    </w:lvl>
    <w:lvl w:ilvl="3">
      <w:start w:val="1"/>
      <w:numFmt w:val="bullet"/>
      <w:lvlText w:val="•"/>
      <w:lvlJc w:val="left"/>
      <w:pPr>
        <w:ind w:left="2880" w:hanging="360"/>
      </w:pPr>
      <w:rPr>
        <w:sz w:val="24"/>
        <w:szCs w:val="24"/>
        <w:vertAlign w:val="baseline"/>
      </w:rPr>
    </w:lvl>
    <w:lvl w:ilvl="4">
      <w:start w:val="1"/>
      <w:numFmt w:val="bullet"/>
      <w:lvlText w:val="o"/>
      <w:lvlJc w:val="left"/>
      <w:pPr>
        <w:ind w:left="3600" w:hanging="360"/>
      </w:pPr>
      <w:rPr>
        <w:sz w:val="24"/>
        <w:szCs w:val="24"/>
        <w:vertAlign w:val="baseline"/>
      </w:rPr>
    </w:lvl>
    <w:lvl w:ilvl="5">
      <w:start w:val="1"/>
      <w:numFmt w:val="bullet"/>
      <w:lvlText w:val="▪"/>
      <w:lvlJc w:val="left"/>
      <w:pPr>
        <w:ind w:left="4320" w:hanging="360"/>
      </w:pPr>
      <w:rPr>
        <w:sz w:val="24"/>
        <w:szCs w:val="24"/>
        <w:vertAlign w:val="baseline"/>
      </w:rPr>
    </w:lvl>
    <w:lvl w:ilvl="6">
      <w:start w:val="1"/>
      <w:numFmt w:val="bullet"/>
      <w:lvlText w:val="•"/>
      <w:lvlJc w:val="left"/>
      <w:pPr>
        <w:ind w:left="5040" w:hanging="360"/>
      </w:pPr>
      <w:rPr>
        <w:sz w:val="24"/>
        <w:szCs w:val="24"/>
        <w:vertAlign w:val="baseline"/>
      </w:rPr>
    </w:lvl>
    <w:lvl w:ilvl="7">
      <w:start w:val="1"/>
      <w:numFmt w:val="bullet"/>
      <w:lvlText w:val="o"/>
      <w:lvlJc w:val="left"/>
      <w:pPr>
        <w:ind w:left="5760" w:hanging="360"/>
      </w:pPr>
      <w:rPr>
        <w:sz w:val="24"/>
        <w:szCs w:val="24"/>
        <w:vertAlign w:val="baseline"/>
      </w:rPr>
    </w:lvl>
    <w:lvl w:ilvl="8">
      <w:start w:val="1"/>
      <w:numFmt w:val="bullet"/>
      <w:lvlText w:val="▪"/>
      <w:lvlJc w:val="left"/>
      <w:pPr>
        <w:ind w:left="6480" w:hanging="360"/>
      </w:pPr>
      <w:rPr>
        <w:sz w:val="24"/>
        <w:szCs w:val="24"/>
        <w:vertAlign w:val="baseline"/>
      </w:rPr>
    </w:lvl>
  </w:abstractNum>
  <w:abstractNum w:abstractNumId="26" w15:restartNumberingAfterBreak="0">
    <w:nsid w:val="6478237C"/>
    <w:multiLevelType w:val="multilevel"/>
    <w:tmpl w:val="0ED203C6"/>
    <w:lvl w:ilvl="0">
      <w:start w:val="1"/>
      <w:numFmt w:val="decimal"/>
      <w:lvlText w:val="%1)"/>
      <w:lvlJc w:val="left"/>
      <w:pPr>
        <w:ind w:left="720" w:hanging="360"/>
      </w:pPr>
      <w:rPr>
        <w:rFonts w:ascii="Times New Roman" w:eastAsia="Times New Roman" w:hAnsi="Times New Roman" w:cs="Times New Roman"/>
        <w:b w:val="0"/>
        <w:sz w:val="24"/>
        <w:szCs w:val="24"/>
        <w:vertAlign w:val="baseline"/>
      </w:rPr>
    </w:lvl>
    <w:lvl w:ilvl="1">
      <w:start w:val="1"/>
      <w:numFmt w:val="lowerLetter"/>
      <w:lvlText w:val="%2."/>
      <w:lvlJc w:val="left"/>
      <w:pPr>
        <w:ind w:left="1440" w:hanging="360"/>
      </w:pPr>
      <w:rPr>
        <w:sz w:val="24"/>
        <w:szCs w:val="24"/>
        <w:vertAlign w:val="baseline"/>
      </w:rPr>
    </w:lvl>
    <w:lvl w:ilvl="2">
      <w:start w:val="1"/>
      <w:numFmt w:val="lowerRoman"/>
      <w:lvlText w:val="%3."/>
      <w:lvlJc w:val="left"/>
      <w:pPr>
        <w:ind w:left="2160" w:hanging="296"/>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left"/>
      <w:pPr>
        <w:ind w:left="4320" w:hanging="296"/>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left"/>
      <w:pPr>
        <w:ind w:left="6480" w:hanging="296"/>
      </w:pPr>
      <w:rPr>
        <w:sz w:val="24"/>
        <w:szCs w:val="24"/>
        <w:vertAlign w:val="baseline"/>
      </w:rPr>
    </w:lvl>
  </w:abstractNum>
  <w:abstractNum w:abstractNumId="27" w15:restartNumberingAfterBreak="0">
    <w:nsid w:val="663F4183"/>
    <w:multiLevelType w:val="multilevel"/>
    <w:tmpl w:val="E4540FEC"/>
    <w:lvl w:ilvl="0">
      <w:start w:val="1"/>
      <w:numFmt w:val="bullet"/>
      <w:lvlText w:val="•"/>
      <w:lvlJc w:val="left"/>
      <w:pPr>
        <w:ind w:left="360" w:hanging="360"/>
      </w:pPr>
      <w:rPr>
        <w:b/>
        <w:sz w:val="22"/>
        <w:szCs w:val="22"/>
        <w:vertAlign w:val="baseline"/>
      </w:rPr>
    </w:lvl>
    <w:lvl w:ilvl="1">
      <w:start w:val="1"/>
      <w:numFmt w:val="bullet"/>
      <w:lvlText w:val="o"/>
      <w:lvlJc w:val="left"/>
      <w:pPr>
        <w:ind w:left="1800" w:hanging="360"/>
      </w:pPr>
      <w:rPr>
        <w:b/>
        <w:sz w:val="24"/>
        <w:szCs w:val="24"/>
        <w:vertAlign w:val="baseline"/>
      </w:rPr>
    </w:lvl>
    <w:lvl w:ilvl="2">
      <w:start w:val="1"/>
      <w:numFmt w:val="bullet"/>
      <w:lvlText w:val="▪"/>
      <w:lvlJc w:val="left"/>
      <w:pPr>
        <w:ind w:left="2520" w:hanging="360"/>
      </w:pPr>
      <w:rPr>
        <w:b/>
        <w:sz w:val="24"/>
        <w:szCs w:val="24"/>
        <w:vertAlign w:val="baseline"/>
      </w:rPr>
    </w:lvl>
    <w:lvl w:ilvl="3">
      <w:start w:val="1"/>
      <w:numFmt w:val="bullet"/>
      <w:lvlText w:val="•"/>
      <w:lvlJc w:val="left"/>
      <w:pPr>
        <w:ind w:left="3240" w:hanging="360"/>
      </w:pPr>
      <w:rPr>
        <w:b/>
        <w:sz w:val="24"/>
        <w:szCs w:val="24"/>
        <w:vertAlign w:val="baseline"/>
      </w:rPr>
    </w:lvl>
    <w:lvl w:ilvl="4">
      <w:start w:val="1"/>
      <w:numFmt w:val="bullet"/>
      <w:lvlText w:val="o"/>
      <w:lvlJc w:val="left"/>
      <w:pPr>
        <w:ind w:left="3960" w:hanging="360"/>
      </w:pPr>
      <w:rPr>
        <w:b/>
        <w:sz w:val="24"/>
        <w:szCs w:val="24"/>
        <w:vertAlign w:val="baseline"/>
      </w:rPr>
    </w:lvl>
    <w:lvl w:ilvl="5">
      <w:start w:val="1"/>
      <w:numFmt w:val="bullet"/>
      <w:lvlText w:val="▪"/>
      <w:lvlJc w:val="left"/>
      <w:pPr>
        <w:ind w:left="4680" w:hanging="360"/>
      </w:pPr>
      <w:rPr>
        <w:b/>
        <w:sz w:val="24"/>
        <w:szCs w:val="24"/>
        <w:vertAlign w:val="baseline"/>
      </w:rPr>
    </w:lvl>
    <w:lvl w:ilvl="6">
      <w:start w:val="1"/>
      <w:numFmt w:val="bullet"/>
      <w:lvlText w:val="•"/>
      <w:lvlJc w:val="left"/>
      <w:pPr>
        <w:ind w:left="5400" w:hanging="360"/>
      </w:pPr>
      <w:rPr>
        <w:b/>
        <w:sz w:val="24"/>
        <w:szCs w:val="24"/>
        <w:vertAlign w:val="baseline"/>
      </w:rPr>
    </w:lvl>
    <w:lvl w:ilvl="7">
      <w:start w:val="1"/>
      <w:numFmt w:val="bullet"/>
      <w:lvlText w:val="o"/>
      <w:lvlJc w:val="left"/>
      <w:pPr>
        <w:ind w:left="6120" w:hanging="360"/>
      </w:pPr>
      <w:rPr>
        <w:b/>
        <w:sz w:val="24"/>
        <w:szCs w:val="24"/>
        <w:vertAlign w:val="baseline"/>
      </w:rPr>
    </w:lvl>
    <w:lvl w:ilvl="8">
      <w:start w:val="1"/>
      <w:numFmt w:val="bullet"/>
      <w:lvlText w:val="▪"/>
      <w:lvlJc w:val="left"/>
      <w:pPr>
        <w:ind w:left="6840" w:hanging="360"/>
      </w:pPr>
      <w:rPr>
        <w:b/>
        <w:sz w:val="24"/>
        <w:szCs w:val="24"/>
        <w:vertAlign w:val="baseline"/>
      </w:rPr>
    </w:lvl>
  </w:abstractNum>
  <w:abstractNum w:abstractNumId="28" w15:restartNumberingAfterBreak="0">
    <w:nsid w:val="6C135A4F"/>
    <w:multiLevelType w:val="hybridMultilevel"/>
    <w:tmpl w:val="A6382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DB318F"/>
    <w:multiLevelType w:val="multilevel"/>
    <w:tmpl w:val="D700A550"/>
    <w:lvl w:ilvl="0">
      <w:start w:val="1"/>
      <w:numFmt w:val="bullet"/>
      <w:lvlText w:val="•"/>
      <w:lvlJc w:val="left"/>
      <w:pPr>
        <w:ind w:left="720" w:hanging="360"/>
      </w:pPr>
      <w:rPr>
        <w:sz w:val="22"/>
        <w:szCs w:val="22"/>
        <w:vertAlign w:val="baseline"/>
      </w:rPr>
    </w:lvl>
    <w:lvl w:ilvl="1">
      <w:start w:val="1"/>
      <w:numFmt w:val="bullet"/>
      <w:lvlText w:val="o"/>
      <w:lvlJc w:val="left"/>
      <w:pPr>
        <w:ind w:left="1440" w:hanging="360"/>
      </w:pPr>
      <w:rPr>
        <w:sz w:val="24"/>
        <w:szCs w:val="24"/>
        <w:vertAlign w:val="baseline"/>
      </w:rPr>
    </w:lvl>
    <w:lvl w:ilvl="2">
      <w:start w:val="1"/>
      <w:numFmt w:val="bullet"/>
      <w:lvlText w:val="▪"/>
      <w:lvlJc w:val="left"/>
      <w:pPr>
        <w:ind w:left="2160" w:hanging="360"/>
      </w:pPr>
      <w:rPr>
        <w:sz w:val="24"/>
        <w:szCs w:val="24"/>
        <w:vertAlign w:val="baseline"/>
      </w:rPr>
    </w:lvl>
    <w:lvl w:ilvl="3">
      <w:start w:val="1"/>
      <w:numFmt w:val="bullet"/>
      <w:lvlText w:val="•"/>
      <w:lvlJc w:val="left"/>
      <w:pPr>
        <w:ind w:left="2880" w:hanging="360"/>
      </w:pPr>
      <w:rPr>
        <w:sz w:val="24"/>
        <w:szCs w:val="24"/>
        <w:vertAlign w:val="baseline"/>
      </w:rPr>
    </w:lvl>
    <w:lvl w:ilvl="4">
      <w:start w:val="1"/>
      <w:numFmt w:val="bullet"/>
      <w:lvlText w:val="o"/>
      <w:lvlJc w:val="left"/>
      <w:pPr>
        <w:ind w:left="3600" w:hanging="360"/>
      </w:pPr>
      <w:rPr>
        <w:sz w:val="24"/>
        <w:szCs w:val="24"/>
        <w:vertAlign w:val="baseline"/>
      </w:rPr>
    </w:lvl>
    <w:lvl w:ilvl="5">
      <w:start w:val="1"/>
      <w:numFmt w:val="bullet"/>
      <w:lvlText w:val="▪"/>
      <w:lvlJc w:val="left"/>
      <w:pPr>
        <w:ind w:left="4320" w:hanging="360"/>
      </w:pPr>
      <w:rPr>
        <w:sz w:val="24"/>
        <w:szCs w:val="24"/>
        <w:vertAlign w:val="baseline"/>
      </w:rPr>
    </w:lvl>
    <w:lvl w:ilvl="6">
      <w:start w:val="1"/>
      <w:numFmt w:val="bullet"/>
      <w:lvlText w:val="•"/>
      <w:lvlJc w:val="left"/>
      <w:pPr>
        <w:ind w:left="5040" w:hanging="360"/>
      </w:pPr>
      <w:rPr>
        <w:sz w:val="24"/>
        <w:szCs w:val="24"/>
        <w:vertAlign w:val="baseline"/>
      </w:rPr>
    </w:lvl>
    <w:lvl w:ilvl="7">
      <w:start w:val="1"/>
      <w:numFmt w:val="bullet"/>
      <w:lvlText w:val="o"/>
      <w:lvlJc w:val="left"/>
      <w:pPr>
        <w:ind w:left="5760" w:hanging="360"/>
      </w:pPr>
      <w:rPr>
        <w:sz w:val="24"/>
        <w:szCs w:val="24"/>
        <w:vertAlign w:val="baseline"/>
      </w:rPr>
    </w:lvl>
    <w:lvl w:ilvl="8">
      <w:start w:val="1"/>
      <w:numFmt w:val="bullet"/>
      <w:lvlText w:val="▪"/>
      <w:lvlJc w:val="left"/>
      <w:pPr>
        <w:ind w:left="6480" w:hanging="360"/>
      </w:pPr>
      <w:rPr>
        <w:sz w:val="24"/>
        <w:szCs w:val="24"/>
        <w:vertAlign w:val="baseline"/>
      </w:rPr>
    </w:lvl>
  </w:abstractNum>
  <w:num w:numId="1">
    <w:abstractNumId w:val="1"/>
  </w:num>
  <w:num w:numId="2">
    <w:abstractNumId w:val="10"/>
  </w:num>
  <w:num w:numId="3">
    <w:abstractNumId w:val="14"/>
  </w:num>
  <w:num w:numId="4">
    <w:abstractNumId w:val="22"/>
  </w:num>
  <w:num w:numId="5">
    <w:abstractNumId w:val="12"/>
  </w:num>
  <w:num w:numId="6">
    <w:abstractNumId w:val="25"/>
  </w:num>
  <w:num w:numId="7">
    <w:abstractNumId w:val="29"/>
  </w:num>
  <w:num w:numId="8">
    <w:abstractNumId w:val="7"/>
  </w:num>
  <w:num w:numId="9">
    <w:abstractNumId w:val="6"/>
  </w:num>
  <w:num w:numId="10">
    <w:abstractNumId w:val="27"/>
  </w:num>
  <w:num w:numId="11">
    <w:abstractNumId w:val="11"/>
  </w:num>
  <w:num w:numId="12">
    <w:abstractNumId w:val="16"/>
  </w:num>
  <w:num w:numId="13">
    <w:abstractNumId w:val="26"/>
  </w:num>
  <w:num w:numId="14">
    <w:abstractNumId w:val="2"/>
  </w:num>
  <w:num w:numId="15">
    <w:abstractNumId w:val="17"/>
  </w:num>
  <w:num w:numId="16">
    <w:abstractNumId w:val="23"/>
  </w:num>
  <w:num w:numId="17">
    <w:abstractNumId w:val="13"/>
  </w:num>
  <w:num w:numId="18">
    <w:abstractNumId w:val="19"/>
  </w:num>
  <w:num w:numId="19">
    <w:abstractNumId w:val="0"/>
  </w:num>
  <w:num w:numId="20">
    <w:abstractNumId w:val="24"/>
  </w:num>
  <w:num w:numId="21">
    <w:abstractNumId w:val="4"/>
  </w:num>
  <w:num w:numId="22">
    <w:abstractNumId w:val="3"/>
  </w:num>
  <w:num w:numId="23">
    <w:abstractNumId w:val="21"/>
  </w:num>
  <w:num w:numId="24">
    <w:abstractNumId w:val="8"/>
  </w:num>
  <w:num w:numId="25">
    <w:abstractNumId w:val="18"/>
  </w:num>
  <w:num w:numId="26">
    <w:abstractNumId w:val="9"/>
  </w:num>
  <w:num w:numId="27">
    <w:abstractNumId w:val="15"/>
  </w:num>
  <w:num w:numId="28">
    <w:abstractNumId w:val="5"/>
  </w:num>
  <w:num w:numId="29">
    <w:abstractNumId w:val="20"/>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CE0"/>
    <w:rsid w:val="0004730F"/>
    <w:rsid w:val="000C6553"/>
    <w:rsid w:val="002E24A3"/>
    <w:rsid w:val="002F4EC2"/>
    <w:rsid w:val="0032395E"/>
    <w:rsid w:val="00370AC7"/>
    <w:rsid w:val="00396B51"/>
    <w:rsid w:val="00521D0C"/>
    <w:rsid w:val="006A5023"/>
    <w:rsid w:val="006B64CF"/>
    <w:rsid w:val="00720765"/>
    <w:rsid w:val="00772A87"/>
    <w:rsid w:val="007805D9"/>
    <w:rsid w:val="007D332C"/>
    <w:rsid w:val="00922B60"/>
    <w:rsid w:val="009D2329"/>
    <w:rsid w:val="00BA2296"/>
    <w:rsid w:val="00C50CE0"/>
    <w:rsid w:val="00CF066D"/>
    <w:rsid w:val="00D72EE9"/>
    <w:rsid w:val="00E54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EAD9A-7CCF-42D0-80C8-DBD42A16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00" w:after="80"/>
      <w:outlineLvl w:val="1"/>
    </w:pPr>
    <w:rPr>
      <w:rFonts w:ascii="Calibri" w:eastAsia="Calibri" w:hAnsi="Calibri" w:cs="Calibri"/>
      <w:b/>
      <w:color w:val="365F91"/>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40"/>
      <w:outlineLvl w:val="3"/>
    </w:pPr>
    <w:rPr>
      <w:rFonts w:ascii="Helvetica Neue" w:eastAsia="Helvetica Neue" w:hAnsi="Helvetica Neue" w:cs="Helvetica Neue"/>
      <w:i/>
      <w:color w:val="2E769E"/>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3239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916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fficiencyvermont.com" TargetMode="Externa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acrpc.org/programs-services/energy/"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vtenergydashboard.org/my-community/bristol/statistics"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39</Pages>
  <Words>9807</Words>
  <Characters>55904</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acrpc vt</dc:creator>
  <cp:lastModifiedBy>acrpc vt</cp:lastModifiedBy>
  <cp:revision>9</cp:revision>
  <dcterms:created xsi:type="dcterms:W3CDTF">2019-06-28T16:34:00Z</dcterms:created>
  <dcterms:modified xsi:type="dcterms:W3CDTF">2019-08-15T14:35:00Z</dcterms:modified>
</cp:coreProperties>
</file>